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36F7A5">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180" w:lineRule="atLeast"/>
        <w:ind w:left="102" w:leftChars="0" w:right="0" w:rightChars="0"/>
        <w:jc w:val="center"/>
        <w:rPr>
          <w:rFonts w:hint="default" w:ascii="Times New Roman" w:hAnsi="Times New Roman" w:eastAsia="PingFangSC-Regular" w:cs="Times New Roman"/>
          <w:i w:val="0"/>
          <w:iCs w:val="0"/>
          <w:caps w:val="0"/>
          <w:color w:val="auto"/>
          <w:spacing w:val="0"/>
          <w:sz w:val="24"/>
          <w:szCs w:val="24"/>
          <w:shd w:val="clear" w:fill="FFFFFF"/>
        </w:rPr>
      </w:pPr>
      <w:r>
        <w:rPr>
          <w:rFonts w:hint="default" w:ascii="Times New Roman" w:hAnsi="Times New Roman" w:cs="Times New Roman"/>
          <w:b/>
          <w:bCs/>
          <w:i w:val="0"/>
          <w:iCs w:val="0"/>
          <w:caps w:val="0"/>
          <w:color w:val="000000"/>
          <w:spacing w:val="0"/>
          <w:sz w:val="24"/>
          <w:szCs w:val="24"/>
          <w:shd w:val="clear" w:fill="FFFFFF"/>
        </w:rPr>
        <w:t>STANDARD CONTRACTUAL CLAUSES</w:t>
      </w:r>
      <w:r>
        <w:rPr>
          <w:rFonts w:hint="default" w:ascii="Times New Roman" w:hAnsi="Times New Roman" w:eastAsia="PingFangSC-Regular" w:cs="Times New Roman"/>
          <w:i w:val="0"/>
          <w:iCs w:val="0"/>
          <w:caps w:val="0"/>
          <w:color w:val="auto"/>
          <w:spacing w:val="0"/>
          <w:sz w:val="24"/>
          <w:szCs w:val="24"/>
          <w:shd w:val="clear" w:fill="FFFFFF"/>
        </w:rPr>
        <w:t xml:space="preserve"> </w:t>
      </w:r>
    </w:p>
    <w:p w14:paraId="487CC9D0">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180" w:lineRule="atLeast"/>
        <w:ind w:left="102" w:leftChars="0" w:right="0" w:rightChars="0"/>
        <w:jc w:val="center"/>
        <w:rPr>
          <w:rFonts w:hint="default" w:ascii="Times New Roman" w:hAnsi="Times New Roman" w:eastAsia="PingFangSC-Regular" w:cs="Times New Roman"/>
          <w:color w:val="auto"/>
          <w:sz w:val="24"/>
          <w:szCs w:val="24"/>
        </w:rPr>
      </w:pPr>
      <w:r>
        <w:rPr>
          <w:rFonts w:hint="default" w:ascii="Times New Roman" w:hAnsi="Times New Roman" w:eastAsia="PingFangSC-Regular" w:cs="Times New Roman"/>
          <w:i w:val="0"/>
          <w:iCs w:val="0"/>
          <w:caps w:val="0"/>
          <w:color w:val="auto"/>
          <w:spacing w:val="0"/>
          <w:sz w:val="24"/>
          <w:szCs w:val="24"/>
          <w:shd w:val="clear" w:fill="FFFFFF"/>
        </w:rPr>
        <w:t xml:space="preserve">(MODULE </w:t>
      </w:r>
      <w:r>
        <w:rPr>
          <w:rFonts w:hint="eastAsia" w:ascii="Times New Roman" w:hAnsi="Times New Roman" w:eastAsia="宋体" w:cs="Times New Roman"/>
          <w:i w:val="0"/>
          <w:iCs w:val="0"/>
          <w:caps w:val="0"/>
          <w:color w:val="auto"/>
          <w:spacing w:val="0"/>
          <w:sz w:val="24"/>
          <w:szCs w:val="24"/>
          <w:shd w:val="clear" w:fill="FFFFFF"/>
          <w:lang w:val="en-US" w:eastAsia="zh-CN"/>
        </w:rPr>
        <w:t>2</w:t>
      </w:r>
      <w:r>
        <w:rPr>
          <w:rFonts w:hint="default" w:ascii="Times New Roman" w:hAnsi="Times New Roman" w:eastAsia="PingFangSC-Regular" w:cs="Times New Roman"/>
          <w:i w:val="0"/>
          <w:iCs w:val="0"/>
          <w:caps w:val="0"/>
          <w:color w:val="auto"/>
          <w:spacing w:val="0"/>
          <w:sz w:val="24"/>
          <w:szCs w:val="24"/>
          <w:shd w:val="clear" w:fill="FFFFFF"/>
        </w:rPr>
        <w:t xml:space="preserve">: PROCESSOR TO </w:t>
      </w:r>
      <w:r>
        <w:rPr>
          <w:rFonts w:hint="eastAsia" w:ascii="Times New Roman" w:hAnsi="Times New Roman" w:eastAsia="宋体" w:cs="Times New Roman"/>
          <w:i w:val="0"/>
          <w:iCs w:val="0"/>
          <w:caps w:val="0"/>
          <w:color w:val="auto"/>
          <w:spacing w:val="0"/>
          <w:sz w:val="24"/>
          <w:szCs w:val="24"/>
          <w:shd w:val="clear" w:fill="FFFFFF"/>
          <w:lang w:val="en-US" w:eastAsia="zh-CN"/>
        </w:rPr>
        <w:t>CONTROLLER</w:t>
      </w:r>
      <w:r>
        <w:rPr>
          <w:rFonts w:hint="default" w:ascii="Times New Roman" w:hAnsi="Times New Roman" w:eastAsia="PingFangSC-Regular" w:cs="Times New Roman"/>
          <w:i w:val="0"/>
          <w:iCs w:val="0"/>
          <w:caps w:val="0"/>
          <w:color w:val="auto"/>
          <w:spacing w:val="0"/>
          <w:sz w:val="24"/>
          <w:szCs w:val="24"/>
          <w:shd w:val="clear" w:fill="FFFFFF"/>
        </w:rPr>
        <w:t>)</w:t>
      </w:r>
    </w:p>
    <w:p w14:paraId="3C426E61">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center"/>
        <w:textAlignment w:val="auto"/>
        <w:rPr>
          <w:rFonts w:hint="default" w:ascii="Times New Roman" w:hAnsi="Times New Roman" w:cs="Times New Roman"/>
          <w:b/>
          <w:bCs/>
          <w:sz w:val="24"/>
          <w:szCs w:val="24"/>
        </w:rPr>
      </w:pPr>
    </w:p>
    <w:p w14:paraId="62EF57E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SECTION I</w:t>
      </w:r>
    </w:p>
    <w:p w14:paraId="68CEA61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w:t>
      </w:r>
    </w:p>
    <w:p w14:paraId="3FC46748">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Purpose and scope</w:t>
      </w:r>
    </w:p>
    <w:p w14:paraId="2280383C">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purpose of these standard contractual clauses is to ensure compliance with the requirements of Regulation (EU) 2016/679 of the European Parliament and of the Council of 27 April 2016 on the protection of natural persons with regard to the processing of personal data and on the free movement of such data (General Data Protection Regulation) </w:t>
      </w:r>
      <w:r>
        <w:rPr>
          <w:rFonts w:hint="default" w:ascii="Times New Roman" w:hAnsi="Times New Roman" w:cs="Times New Roman"/>
          <w:color w:val="337AB7"/>
          <w:sz w:val="24"/>
          <w:szCs w:val="24"/>
          <w:u w:val="none"/>
        </w:rPr>
        <w:fldChar w:fldCharType="begin"/>
      </w:r>
      <w:r>
        <w:rPr>
          <w:rFonts w:hint="default" w:ascii="Times New Roman" w:hAnsi="Times New Roman" w:cs="Times New Roman"/>
          <w:color w:val="337AB7"/>
          <w:sz w:val="24"/>
          <w:szCs w:val="24"/>
          <w:u w:val="none"/>
        </w:rPr>
        <w:instrText xml:space="preserve"> HYPERLINK "https://eur-lex.europa.eu/legal-content/EN/TXT/HTML/?uri=CELEX:32021D0914&amp;qid=1750758212989" \l "ntr1-L_2021199EN.01003701-E0001" </w:instrText>
      </w:r>
      <w:r>
        <w:rPr>
          <w:rFonts w:hint="default" w:ascii="Times New Roman" w:hAnsi="Times New Roman" w:cs="Times New Roman"/>
          <w:color w:val="337AB7"/>
          <w:sz w:val="24"/>
          <w:szCs w:val="24"/>
          <w:u w:val="none"/>
        </w:rPr>
        <w:fldChar w:fldCharType="separate"/>
      </w:r>
      <w:r>
        <w:rPr>
          <w:rStyle w:val="10"/>
          <w:rFonts w:hint="default" w:ascii="Times New Roman" w:hAnsi="Times New Roman" w:cs="Times New Roman"/>
          <w:color w:val="337AB7"/>
          <w:sz w:val="24"/>
          <w:szCs w:val="24"/>
          <w:u w:val="none"/>
        </w:rPr>
        <w:t>(</w:t>
      </w:r>
      <w:r>
        <w:rPr>
          <w:rStyle w:val="10"/>
          <w:rFonts w:hint="default" w:ascii="Times New Roman" w:hAnsi="Times New Roman" w:cs="Times New Roman"/>
          <w:color w:val="337AB7"/>
          <w:sz w:val="24"/>
          <w:szCs w:val="24"/>
          <w:u w:val="none"/>
          <w:vertAlign w:val="superscript"/>
        </w:rPr>
        <w:t>1</w:t>
      </w:r>
      <w:r>
        <w:rPr>
          <w:rStyle w:val="10"/>
          <w:rFonts w:hint="default" w:ascii="Times New Roman" w:hAnsi="Times New Roman" w:cs="Times New Roman"/>
          <w:color w:val="337AB7"/>
          <w:sz w:val="24"/>
          <w:szCs w:val="24"/>
          <w:u w:val="none"/>
        </w:rPr>
        <w:t>)</w:t>
      </w:r>
      <w:r>
        <w:rPr>
          <w:rFonts w:hint="default" w:ascii="Times New Roman" w:hAnsi="Times New Roman" w:cs="Times New Roman"/>
          <w:color w:val="337AB7"/>
          <w:sz w:val="24"/>
          <w:szCs w:val="24"/>
          <w:u w:val="none"/>
        </w:rPr>
        <w:fldChar w:fldCharType="end"/>
      </w:r>
      <w:r>
        <w:rPr>
          <w:rFonts w:hint="default" w:ascii="Times New Roman" w:hAnsi="Times New Roman" w:cs="Times New Roman"/>
          <w:sz w:val="24"/>
          <w:szCs w:val="24"/>
        </w:rPr>
        <w:t> for the transfer of personal data to a third country.</w:t>
      </w:r>
    </w:p>
    <w:p w14:paraId="54F45877">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0CC9DE0">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Parties:</w:t>
      </w:r>
    </w:p>
    <w:p w14:paraId="69196D38">
      <w:pPr>
        <w:pStyle w:val="4"/>
        <w:keepNext w:val="0"/>
        <w:keepLines w:val="0"/>
        <w:pageBreakBefore w:val="0"/>
        <w:widowControl/>
        <w:suppressLineNumbers w:val="0"/>
        <w:tabs>
          <w:tab w:val="left" w:pos="176"/>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w:t>
      </w:r>
      <w:r>
        <w:rPr>
          <w:rFonts w:hint="default" w:ascii="Times New Roman" w:hAnsi="Times New Roman" w:cs="Times New Roman"/>
          <w:sz w:val="24"/>
          <w:szCs w:val="24"/>
        </w:rPr>
        <w:tab/>
      </w:r>
      <w:r>
        <w:rPr>
          <w:rFonts w:hint="default" w:ascii="Times New Roman" w:hAnsi="Times New Roman" w:cs="Times New Roman"/>
          <w:sz w:val="24"/>
          <w:szCs w:val="24"/>
        </w:rPr>
        <w:t>the natural or legal person(s), public authority/ies, agency/ies or other body/ies (hereinafter ‘entity/ies’) transferring the personal data, as listed in Annex I.A (hereinafter each ‘data exporter’), and</w:t>
      </w:r>
    </w:p>
    <w:p w14:paraId="5CC0867E">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DD5D77B">
      <w:pPr>
        <w:pStyle w:val="4"/>
        <w:keepNext w:val="0"/>
        <w:keepLines w:val="0"/>
        <w:pageBreakBefore w:val="0"/>
        <w:widowControl/>
        <w:suppressLineNumbers w:val="0"/>
        <w:tabs>
          <w:tab w:val="left" w:pos="224"/>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(ii)</w:t>
      </w:r>
      <w:r>
        <w:rPr>
          <w:rFonts w:hint="default" w:ascii="Times New Roman" w:hAnsi="Times New Roman" w:cs="Times New Roman"/>
          <w:sz w:val="24"/>
          <w:szCs w:val="24"/>
        </w:rPr>
        <w:tab/>
      </w:r>
      <w:r>
        <w:rPr>
          <w:rFonts w:hint="default" w:ascii="Times New Roman" w:hAnsi="Times New Roman" w:cs="Times New Roman"/>
          <w:sz w:val="24"/>
          <w:szCs w:val="24"/>
        </w:rPr>
        <w:t>the entity/ies in a third country receiving the personal data from the data exporter, directly or indirectly via another entity also Party to these Clauses, as listed in Annex I.A (hereinafter each ‘data importer’)</w:t>
      </w:r>
    </w:p>
    <w:p w14:paraId="4A921E6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have agreed to these standard contractual clauses (hereinafter: ‘Clauses’).</w:t>
      </w:r>
    </w:p>
    <w:p w14:paraId="21C4A3D4">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40667FF">
      <w:pPr>
        <w:pStyle w:val="4"/>
        <w:keepNext w:val="0"/>
        <w:keepLines w:val="0"/>
        <w:pageBreakBefore w:val="0"/>
        <w:widowControl/>
        <w:suppressLineNumbers w:val="0"/>
        <w:tabs>
          <w:tab w:val="left" w:pos="229"/>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These Clauses apply with respect to the transfer of personal data as specified in Annex I.B.</w:t>
      </w:r>
    </w:p>
    <w:p w14:paraId="54116D09">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04BB04A">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The Appendix to these Clauses containing the Annexes referred to therein forms an integral part of these Clauses.</w:t>
      </w:r>
    </w:p>
    <w:p w14:paraId="7005F4B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2</w:t>
      </w:r>
    </w:p>
    <w:p w14:paraId="34D44CE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Effect and invariability of the Clauses</w:t>
      </w:r>
    </w:p>
    <w:p w14:paraId="2342C7F1">
      <w:pPr>
        <w:pStyle w:val="4"/>
        <w:keepNext w:val="0"/>
        <w:keepLines w:val="0"/>
        <w:pageBreakBefore w:val="0"/>
        <w:widowControl/>
        <w:suppressLineNumbers w:val="0"/>
        <w:tabs>
          <w:tab w:val="left" w:pos="239"/>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These Clauses set out appropriate safeguards, including enforceable data subject rights and effective legal remedies, pursuant to Article 46(1) and Article 46(2)(c) of Regulation (EU) 2016/679 and, with respect to data transfers from controllers to processors and/or processors to processors, standard contractual clauses pursuant to Article 28(7) of Regulation (EU) 2016/679, provided they are not modified, except to select the appropriate Module(s) or to add or update information in the Appendix. This does not prevent the Parties from including the standard contractual clauses laid down in these Clauses in a wider contract and/or to add other clauses or additional safeguards, provided that they do not contradict, directly or indirectly, these Clauses or prejudice the fundamental rights or freedoms of data subjects.</w:t>
      </w:r>
    </w:p>
    <w:p w14:paraId="32D8F033">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F0BBC67">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These Clauses are without prejudice to obligations to which the data exporter is subject by virtue of Regulation (EU) 2016/679.</w:t>
      </w:r>
    </w:p>
    <w:p w14:paraId="5581841C">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3</w:t>
      </w:r>
    </w:p>
    <w:p w14:paraId="7AC84A7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Third-party beneficiaries</w:t>
      </w:r>
    </w:p>
    <w:p w14:paraId="6FDE6D77">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Data subjects may invoke and enforce these Clauses, as third-party beneficiaries, against the data exporter and/or data importer, with the following exceptions:</w:t>
      </w:r>
    </w:p>
    <w:p w14:paraId="5F55D48B">
      <w:pPr>
        <w:pStyle w:val="4"/>
        <w:keepNext w:val="0"/>
        <w:keepLines w:val="0"/>
        <w:pageBreakBefore w:val="0"/>
        <w:widowControl/>
        <w:suppressLineNumbers w:val="0"/>
        <w:tabs>
          <w:tab w:val="left" w:pos="339"/>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(i)</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Clause 1, Clause 2, Clause 3, Clause 6, Clause 7;</w:t>
      </w:r>
    </w:p>
    <w:p w14:paraId="2D5F8599">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9F87F67">
      <w:pPr>
        <w:pStyle w:val="4"/>
        <w:keepNext w:val="0"/>
        <w:keepLines w:val="0"/>
        <w:pageBreakBefore w:val="0"/>
        <w:widowControl/>
        <w:suppressLineNumbers w:val="0"/>
        <w:tabs>
          <w:tab w:val="left" w:pos="224"/>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(ii)</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Clause 8 – Module One: Clause 8.5 (e) and Clause 8.9(b); Module Two: Clause 8.1(b), 8.9(a), (c), (d) and (e); Module Three: Clause 8.1(a), (c) and (d) and Clause 8.9(a), (c), (d), (e), (f) and (g); Module Four: Clause 8.1 (b) and Clause 8.3(b);</w:t>
      </w:r>
    </w:p>
    <w:p w14:paraId="603F736B">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E933FEE">
      <w:pPr>
        <w:pStyle w:val="4"/>
        <w:keepNext w:val="0"/>
        <w:keepLines w:val="0"/>
        <w:pageBreakBefore w:val="0"/>
        <w:widowControl/>
        <w:suppressLineNumbers w:val="0"/>
        <w:tabs>
          <w:tab w:val="left" w:pos="27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(iii)</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Clause 9 – Module Two: Clause 9(a), (c), (d) and (e); Module Three: Clause 9(a), (c), (d) and (e);</w:t>
      </w:r>
    </w:p>
    <w:p w14:paraId="160C2D64">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2D0D16C3">
      <w:pPr>
        <w:pStyle w:val="4"/>
        <w:keepNext w:val="0"/>
        <w:keepLines w:val="0"/>
        <w:pageBreakBefore w:val="0"/>
        <w:widowControl/>
        <w:suppressLineNumbers w:val="0"/>
        <w:tabs>
          <w:tab w:val="left" w:pos="271"/>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(iv)</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Clause 12 – Module One: Clause 12(a) and (d); Modules Two and Three: Clause 12(a), (d) and (f);</w:t>
      </w:r>
    </w:p>
    <w:p w14:paraId="36FF9D04">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58957C9F">
      <w:pPr>
        <w:pStyle w:val="4"/>
        <w:keepNext w:val="0"/>
        <w:keepLines w:val="0"/>
        <w:pageBreakBefore w:val="0"/>
        <w:widowControl/>
        <w:suppressLineNumbers w:val="0"/>
        <w:tabs>
          <w:tab w:val="left" w:pos="420"/>
          <w:tab w:val="left" w:pos="1641"/>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(v)</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Clause 13;</w:t>
      </w:r>
    </w:p>
    <w:p w14:paraId="78D6F2A8">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B696E13">
      <w:pPr>
        <w:pStyle w:val="4"/>
        <w:keepNext w:val="0"/>
        <w:keepLines w:val="0"/>
        <w:pageBreakBefore w:val="0"/>
        <w:widowControl/>
        <w:suppressLineNumbers w:val="0"/>
        <w:tabs>
          <w:tab w:val="left" w:pos="420"/>
          <w:tab w:val="left" w:pos="873"/>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(vi)</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Clause 15.1(c), (d) and (e);</w:t>
      </w:r>
    </w:p>
    <w:p w14:paraId="27849EA6">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0489AD9">
      <w:pPr>
        <w:pStyle w:val="4"/>
        <w:keepNext w:val="0"/>
        <w:keepLines w:val="0"/>
        <w:pageBreakBefore w:val="0"/>
        <w:widowControl/>
        <w:suppressLineNumbers w:val="0"/>
        <w:tabs>
          <w:tab w:val="left" w:pos="420"/>
          <w:tab w:val="left" w:pos="1807"/>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(vii)</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Clause 16(e);</w:t>
      </w:r>
    </w:p>
    <w:p w14:paraId="3DCBA735">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AF196B9">
      <w:pPr>
        <w:pStyle w:val="4"/>
        <w:keepNext w:val="0"/>
        <w:keepLines w:val="0"/>
        <w:pageBreakBefore w:val="0"/>
        <w:widowControl/>
        <w:suppressLineNumbers w:val="0"/>
        <w:tabs>
          <w:tab w:val="left" w:pos="37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(viii)</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Clause 18 – Modules One, Two and Three: Clause 18(a) and (b); Module Four: Clause 18.</w:t>
      </w:r>
    </w:p>
    <w:p w14:paraId="062CF648">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DEE7D16">
      <w:pPr>
        <w:pStyle w:val="4"/>
        <w:keepNext w:val="0"/>
        <w:keepLines w:val="0"/>
        <w:pageBreakBefore w:val="0"/>
        <w:widowControl/>
        <w:suppressLineNumbers w:val="0"/>
        <w:tabs>
          <w:tab w:val="left" w:pos="243"/>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Paragraph (a) is without prejudice to rights of data subjects under Regulation (EU) 2016/679.</w:t>
      </w:r>
    </w:p>
    <w:p w14:paraId="124BF5D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4</w:t>
      </w:r>
    </w:p>
    <w:p w14:paraId="7327C9D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Interpretation</w:t>
      </w:r>
    </w:p>
    <w:p w14:paraId="69D15D63">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Where these Clauses use terms that are defined in Regulation (EU) 2016/679, those terms shall have the same meaning as in that Regulation.</w:t>
      </w:r>
    </w:p>
    <w:p w14:paraId="2C34C10C">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33C7E84B">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These Clauses shall be read and interpreted in the light of the provisions of Regulation (EU) 2016/679.</w:t>
      </w:r>
    </w:p>
    <w:p w14:paraId="30CD0EB0">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9A7E7B4">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These Clauses shall not be interpreted in a way that conflicts with rights and obligations provided for in Regulation (EU) 2016/679.</w:t>
      </w:r>
    </w:p>
    <w:p w14:paraId="0C6446C3">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5</w:t>
      </w:r>
    </w:p>
    <w:p w14:paraId="10E4245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Hierarchy</w:t>
      </w:r>
    </w:p>
    <w:p w14:paraId="5D35AE1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In the event of a contradiction between these Clauses and the provisions of related agreements between the Parties, existing at the time these Clauses are agreed or entered into thereafter, these Clauses shall prevail.</w:t>
      </w:r>
    </w:p>
    <w:p w14:paraId="378FB89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6</w:t>
      </w:r>
    </w:p>
    <w:p w14:paraId="0F1F41E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Description of the transfer(s)</w:t>
      </w:r>
    </w:p>
    <w:p w14:paraId="259306E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The details of the transfer(s), and in particular the categories of personal data that are transferred and the purpose(s) for which they are transferred, are specified in Annex I.B.</w:t>
      </w:r>
    </w:p>
    <w:p w14:paraId="02DB2A9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7 – Optional</w:t>
      </w:r>
    </w:p>
    <w:p w14:paraId="2E8623C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Docking clause</w:t>
      </w:r>
    </w:p>
    <w:p w14:paraId="7AE2BB8C">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An entity that is not a Party to these Clauses may, with the agreement of the Parties, accede to these Clauses at any time, either as a data exporter or as a data importer, by completing the Appendix and signing Annex I.A.</w:t>
      </w:r>
    </w:p>
    <w:p w14:paraId="3461746D">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C7DBD39">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Once it has completed the Appendix and signed Annex I.A, the acceding entity shall become a Party to these Clauses and have the rights and obligations of a data exporter or data importer in accordance with its designation in Annex I.A.</w:t>
      </w:r>
    </w:p>
    <w:p w14:paraId="2809105D">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37E960DB">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The acceding entity shall have no rights or obligations arising under these Clauses from the period prior to becoming a Party.</w:t>
      </w:r>
    </w:p>
    <w:p w14:paraId="05B33CA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SECTION II – OBLIGATIONS OF THE PARTIES</w:t>
      </w:r>
    </w:p>
    <w:p w14:paraId="5269E40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8</w:t>
      </w:r>
    </w:p>
    <w:p w14:paraId="73117CF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Data protection safeguards</w:t>
      </w:r>
    </w:p>
    <w:p w14:paraId="63AC306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The data exporter warrants that it has used reasonable efforts to determine that the data importer is able, through the implementation of appropriate technical and organisational measures, to satisfy its obligations under these Clauses.</w:t>
      </w:r>
    </w:p>
    <w:p w14:paraId="00C669C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MODULE TWO: Transfer controller to processor</w:t>
      </w:r>
    </w:p>
    <w:p w14:paraId="5B01B436">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8.1   Instructions</w:t>
      </w:r>
    </w:p>
    <w:p w14:paraId="59BEFCB7">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process the personal data only on documented instructions from the data exporter. The data exporter may give such instructions throughout the duration of the contract.</w:t>
      </w:r>
    </w:p>
    <w:p w14:paraId="6DEF270D">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FD21CCD">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immediately inform the data exporter if it is unable to follow those instructions.</w:t>
      </w:r>
    </w:p>
    <w:p w14:paraId="23D2A4DE">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8.2   Purpose limitation</w:t>
      </w:r>
    </w:p>
    <w:p w14:paraId="2708C11E">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The data importer shall process the personal data only for the specific purpose(s) of the transfer, as set out in Annex I.B, unless on further instructions from the data exporter.</w:t>
      </w:r>
    </w:p>
    <w:p w14:paraId="10470BF3">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8.3   Transparency</w:t>
      </w:r>
    </w:p>
    <w:p w14:paraId="0E0B6F73">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On request, the data exporter shall make a copy of these Clauses, including the Appendix as completed by the Parties, available to the data subject free of charge. To the extent necessary to protect business secrets or other confidential information, including the measures described in Annex II and personal data, the data exporter may redact part of the text of the Appendix to these Clauses prior to sharing a copy, but shall provide a meaningful summary where the data subject would otherwise not be able to understand the its content or exercise his/her rights. On request, the Parties shall provide the data subject with the reasons for the redactions, to the extent possible without revealing the redacted information. This Clause is without prejudice to the obligations of the data exporter under Articles 13 and 14 of Regulation (EU) 2016/679.</w:t>
      </w:r>
    </w:p>
    <w:p w14:paraId="2BB03310">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8.4   Accuracy</w:t>
      </w:r>
    </w:p>
    <w:p w14:paraId="7E24F42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If the data importer becomes aware that the personal data it has received is inaccurate, or has become outdated, it shall inform the data exporter without undue delay. In this case, the data importer shall cooperate with the data exporter to erase or rectify the data.</w:t>
      </w:r>
    </w:p>
    <w:p w14:paraId="2AF95FB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8.5   Duration of processing and erasure or return of data</w:t>
      </w:r>
    </w:p>
    <w:p w14:paraId="2D59CA4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Processing by the data importer shall only take place for the duration specified in Annex I.B. After the end of the provision of the processing services, the data importer shall, at the choice of the data exporter, delete all personal data processed on behalf of the data exporter and certify to the data exporter that it has done so, or return to the data exporter all personal data processed on its behalf and delete existing copies. Until the data is deleted or returned, the data importer shall continue to ensure compliance with these Clauses. In case of local laws applicable to the data importer that prohibit return or deletion of the personal data, the data importer warrants that it will continue to ensure compliance with these Clauses and will only process it to the extent and for as long as required under that local law. This is without prejudice to Clause 14, in particular the requirement for the data importer under Clause 14(e) to notify the data exporter throughout the duration of the contract if it has reason to believe that it is or has become subject to laws or practices not in line with the requirements under Clause 14(a).</w:t>
      </w:r>
    </w:p>
    <w:p w14:paraId="7C09E19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8.6   Security of processing</w:t>
      </w:r>
    </w:p>
    <w:p w14:paraId="32157442">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data importer and, during transmission, also the data exporter shall implement appropriate technical and organisational measures to ensure the security of the data, including protection against a breach of security leading to accidental or unlawful destruction, loss, alteration, unauthorised disclosure or access to that data (hereinafter ‘personal data breach’). In assessing the appropriate level of security, the Parties shall take due account of the state of the art, the costs of implementation, the nature, scope, context and purpose(s) of processing and the risks involved in the processing for the data subjects. The Parties shall in particular consider having recourse to encryption or pseudonymisation, including during transmission, where the purpose of processing can be fulfilled in that manner. In case of pseudonymisation, the additional information for attributing the personal data to a specific data subject shall, where possible, remain under the exclusive control of the data exporter. In complying with its obligations under this paragraph, the data importer shall at least implement the technical and organisational measures specified in Annex II. The data importer shall carry out regular checks to ensure that these measures continue to provide an appropriate level of security.</w:t>
      </w:r>
    </w:p>
    <w:p w14:paraId="4F607A0C">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743DAEC">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grant access to the personal data to members of its personnel only to the extent strictly necessary for the implementation, management and monitoring of the contract. It shall ensure that persons authorised to process the personal data have committed themselves to confidentiality or are under an appropriate statutory obligation of confidentiality.</w:t>
      </w:r>
    </w:p>
    <w:p w14:paraId="58428E58">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8DAD2F0">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In the event of a personal data breach concerning personal data processed by the data importer under these Clauses, the data importer shall take appropriate measures to address the breach, including measures to mitigate its adverse effects. The data importer shall also notify the data exporter without undue delay after having become aware of the breach. Such notification shall contain the details of a contact point where more information can be obtained, a description of the nature of the breach (including, where possible, categories and approximate number of data subjects and personal data records concerned), its likely consequences and the measures taken or proposed to address the breach including, where appropriate, measures to mitigate its possible adverse effects. Where, and in so far as, it is not possible to provide all information at the same time, the initial notification shall contain the information then available and further information shall, as it becomes available, subsequently be provided without undue delay.</w:t>
      </w:r>
    </w:p>
    <w:p w14:paraId="314A8C78">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57718755">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cooperate with and assist the data exporter to enable the data exporter to comply with its obligations under Regulation (EU) 2016/679, in particular to notify the competent supervisory authority and the affected data subjects, taking into account the nature of processing and the information available to the data importer.</w:t>
      </w:r>
    </w:p>
    <w:p w14:paraId="09B4F5C6">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8.7   Sensitive data</w:t>
      </w:r>
    </w:p>
    <w:p w14:paraId="1FB16530">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Where the transfer involves personal data revealing racial or ethnic origin, political opinions, religious or philosophical beliefs, or trade union membership, genetic data, or biometric data for the purpose of uniquely identifying a natural person, data concerning health or a person’s sex life or sexual orientation, or data relating to criminal convictions and offences (hereinafter ‘sensitive data’), the data importer shall apply the specific restrictions and/or additional safeguards described in Annex I.B.</w:t>
      </w:r>
    </w:p>
    <w:p w14:paraId="28DD0CC1">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8.8   Onward transfers</w:t>
      </w:r>
    </w:p>
    <w:p w14:paraId="025660B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The data importer shall only disclose the personal data to a third party on documented instructions from the data exporter. In addition, the data may only be disclosed to a third party located outside the European Union </w:t>
      </w:r>
      <w:r>
        <w:rPr>
          <w:rFonts w:hint="default" w:ascii="Times New Roman" w:hAnsi="Times New Roman" w:cs="Times New Roman"/>
          <w:i w:val="0"/>
          <w:iCs w:val="0"/>
          <w:caps w:val="0"/>
          <w:color w:val="337AB7"/>
          <w:spacing w:val="0"/>
          <w:sz w:val="24"/>
          <w:szCs w:val="24"/>
          <w:u w:val="none"/>
          <w:shd w:val="clear" w:fill="FFFFFF"/>
        </w:rPr>
        <w:fldChar w:fldCharType="begin"/>
      </w:r>
      <w:r>
        <w:rPr>
          <w:rFonts w:hint="default" w:ascii="Times New Roman" w:hAnsi="Times New Roman" w:cs="Times New Roman"/>
          <w:i w:val="0"/>
          <w:iCs w:val="0"/>
          <w:caps w:val="0"/>
          <w:color w:val="337AB7"/>
          <w:spacing w:val="0"/>
          <w:sz w:val="24"/>
          <w:szCs w:val="24"/>
          <w:u w:val="none"/>
          <w:shd w:val="clear" w:fill="FFFFFF"/>
        </w:rPr>
        <w:instrText xml:space="preserve"> HYPERLINK "https://eur-lex.europa.eu/legal-content/EN/TXT/HTML/?uri=CELEX:32021D0914&amp;qid=1750758212989" \l "ntr4-L_2021199EN.01003701-E0004" </w:instrText>
      </w:r>
      <w:r>
        <w:rPr>
          <w:rFonts w:hint="default" w:ascii="Times New Roman" w:hAnsi="Times New Roman" w:cs="Times New Roman"/>
          <w:i w:val="0"/>
          <w:iCs w:val="0"/>
          <w:caps w:val="0"/>
          <w:color w:val="337AB7"/>
          <w:spacing w:val="0"/>
          <w:sz w:val="24"/>
          <w:szCs w:val="24"/>
          <w:u w:val="none"/>
          <w:shd w:val="clear" w:fill="FFFFFF"/>
        </w:rPr>
        <w:fldChar w:fldCharType="separate"/>
      </w:r>
      <w:r>
        <w:rPr>
          <w:rStyle w:val="10"/>
          <w:rFonts w:hint="default" w:ascii="Times New Roman" w:hAnsi="Times New Roman" w:cs="Times New Roman"/>
          <w:i w:val="0"/>
          <w:iCs w:val="0"/>
          <w:caps w:val="0"/>
          <w:color w:val="337AB7"/>
          <w:spacing w:val="0"/>
          <w:sz w:val="24"/>
          <w:szCs w:val="24"/>
          <w:u w:val="none"/>
          <w:shd w:val="clear" w:fill="FFFFFF"/>
        </w:rPr>
        <w:t>(</w:t>
      </w:r>
      <w:r>
        <w:rPr>
          <w:rStyle w:val="10"/>
          <w:rFonts w:hint="default" w:ascii="Times New Roman" w:hAnsi="Times New Roman" w:cs="Times New Roman"/>
          <w:i w:val="0"/>
          <w:iCs w:val="0"/>
          <w:caps w:val="0"/>
          <w:color w:val="337AB7"/>
          <w:spacing w:val="0"/>
          <w:sz w:val="24"/>
          <w:szCs w:val="24"/>
          <w:u w:val="none"/>
          <w:shd w:val="clear" w:fill="FFFFFF"/>
          <w:vertAlign w:val="superscript"/>
        </w:rPr>
        <w:t>4</w:t>
      </w:r>
      <w:r>
        <w:rPr>
          <w:rStyle w:val="10"/>
          <w:rFonts w:hint="default" w:ascii="Times New Roman" w:hAnsi="Times New Roman" w:cs="Times New Roman"/>
          <w:i w:val="0"/>
          <w:iCs w:val="0"/>
          <w:caps w:val="0"/>
          <w:color w:val="337AB7"/>
          <w:spacing w:val="0"/>
          <w:sz w:val="24"/>
          <w:szCs w:val="24"/>
          <w:u w:val="none"/>
          <w:shd w:val="clear" w:fill="FFFFFF"/>
        </w:rPr>
        <w:t>)</w:t>
      </w:r>
      <w:r>
        <w:rPr>
          <w:rFonts w:hint="default" w:ascii="Times New Roman" w:hAnsi="Times New Roman" w:cs="Times New Roman"/>
          <w:i w:val="0"/>
          <w:iCs w:val="0"/>
          <w:caps w:val="0"/>
          <w:color w:val="337AB7"/>
          <w:spacing w:val="0"/>
          <w:sz w:val="24"/>
          <w:szCs w:val="24"/>
          <w:u w:val="none"/>
          <w:shd w:val="clear" w:fill="FFFFFF"/>
        </w:rPr>
        <w:fldChar w:fldCharType="end"/>
      </w:r>
      <w:r>
        <w:rPr>
          <w:rFonts w:hint="default" w:ascii="Times New Roman" w:hAnsi="Times New Roman" w:cs="Times New Roman"/>
          <w:i w:val="0"/>
          <w:iCs w:val="0"/>
          <w:caps w:val="0"/>
          <w:color w:val="000000"/>
          <w:spacing w:val="0"/>
          <w:sz w:val="24"/>
          <w:szCs w:val="24"/>
          <w:shd w:val="clear" w:fill="FFFFFF"/>
        </w:rPr>
        <w:t> (in the same country as the data importer or in another third country, hereinafter ‘onward transfer’) if the third party is or agrees to be bound by these Clauses, under the appropriate Module, or if:</w:t>
      </w:r>
    </w:p>
    <w:p w14:paraId="24D3E548">
      <w:pPr>
        <w:pStyle w:val="4"/>
        <w:keepNext w:val="0"/>
        <w:keepLines w:val="0"/>
        <w:pageBreakBefore w:val="0"/>
        <w:widowControl/>
        <w:suppressLineNumbers w:val="0"/>
        <w:tabs>
          <w:tab w:val="left" w:pos="176"/>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(i)</w:t>
      </w:r>
      <w:r>
        <w:rPr>
          <w:rFonts w:hint="default" w:ascii="Times New Roman" w:hAnsi="Times New Roman" w:cs="Times New Roman"/>
          <w:sz w:val="24"/>
          <w:szCs w:val="24"/>
        </w:rPr>
        <w:tab/>
      </w:r>
      <w:r>
        <w:rPr>
          <w:rFonts w:hint="default" w:ascii="Times New Roman" w:hAnsi="Times New Roman" w:cs="Times New Roman"/>
          <w:sz w:val="24"/>
          <w:szCs w:val="24"/>
        </w:rPr>
        <w:t>the onward transfer is to a country benefitting from an adequacy decision pursuant to Article 45 of Regulation (EU) 2016/679 that covers the onward transfer;</w:t>
      </w:r>
    </w:p>
    <w:p w14:paraId="4A68FF32">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DA145B3">
      <w:pPr>
        <w:pStyle w:val="4"/>
        <w:keepNext w:val="0"/>
        <w:keepLines w:val="0"/>
        <w:pageBreakBefore w:val="0"/>
        <w:widowControl/>
        <w:suppressLineNumbers w:val="0"/>
        <w:tabs>
          <w:tab w:val="left" w:pos="224"/>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(ii)</w:t>
      </w:r>
      <w:r>
        <w:rPr>
          <w:rFonts w:hint="default" w:ascii="Times New Roman" w:hAnsi="Times New Roman" w:cs="Times New Roman"/>
          <w:sz w:val="24"/>
          <w:szCs w:val="24"/>
        </w:rPr>
        <w:tab/>
      </w:r>
      <w:r>
        <w:rPr>
          <w:rFonts w:hint="default" w:ascii="Times New Roman" w:hAnsi="Times New Roman" w:cs="Times New Roman"/>
          <w:sz w:val="24"/>
          <w:szCs w:val="24"/>
        </w:rPr>
        <w:t>the third party otherwise ensures appropriate safeguards pursuant to Articles 46 or 47 Regulation of (EU) 2016/679 with respect to the processing in question;</w:t>
      </w:r>
    </w:p>
    <w:p w14:paraId="731B4B3F">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614516B8">
      <w:pPr>
        <w:pStyle w:val="4"/>
        <w:keepNext w:val="0"/>
        <w:keepLines w:val="0"/>
        <w:pageBreakBefore w:val="0"/>
        <w:widowControl/>
        <w:suppressLineNumbers w:val="0"/>
        <w:tabs>
          <w:tab w:val="left" w:pos="27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(iii)</w:t>
      </w:r>
      <w:r>
        <w:rPr>
          <w:rFonts w:hint="default" w:ascii="Times New Roman" w:hAnsi="Times New Roman" w:cs="Times New Roman"/>
          <w:sz w:val="24"/>
          <w:szCs w:val="24"/>
        </w:rPr>
        <w:tab/>
      </w:r>
      <w:r>
        <w:rPr>
          <w:rFonts w:hint="default" w:ascii="Times New Roman" w:hAnsi="Times New Roman" w:cs="Times New Roman"/>
          <w:sz w:val="24"/>
          <w:szCs w:val="24"/>
        </w:rPr>
        <w:t>the onward transfer is necessary for the establishment, exercise or defence of legal claims in the context of specific administrative, regulatory or judicial proceedings; or</w:t>
      </w:r>
    </w:p>
    <w:p w14:paraId="76C74566">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7016A2C">
      <w:pPr>
        <w:pStyle w:val="4"/>
        <w:keepNext w:val="0"/>
        <w:keepLines w:val="0"/>
        <w:pageBreakBefore w:val="0"/>
        <w:widowControl/>
        <w:suppressLineNumbers w:val="0"/>
        <w:tabs>
          <w:tab w:val="left" w:pos="271"/>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(iv)</w:t>
      </w:r>
      <w:r>
        <w:rPr>
          <w:rFonts w:hint="default" w:ascii="Times New Roman" w:hAnsi="Times New Roman" w:cs="Times New Roman"/>
          <w:sz w:val="24"/>
          <w:szCs w:val="24"/>
        </w:rPr>
        <w:tab/>
      </w:r>
      <w:r>
        <w:rPr>
          <w:rFonts w:hint="default" w:ascii="Times New Roman" w:hAnsi="Times New Roman" w:cs="Times New Roman"/>
          <w:sz w:val="24"/>
          <w:szCs w:val="24"/>
        </w:rPr>
        <w:t>the onward transfer is necessary in order to protect the vital interests of the data subject or of another natural person.</w:t>
      </w:r>
    </w:p>
    <w:p w14:paraId="24AB3F7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Any onward transfer is subject to compliance by the data importer with all the other safeguards under these Clauses, in particular purpose limitation.</w:t>
      </w:r>
    </w:p>
    <w:p w14:paraId="770958A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8.9   Documentation and compliance</w:t>
      </w:r>
    </w:p>
    <w:p w14:paraId="51090500">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promptly and adequately deal with enquiries from the data exporter that relate to the processing under these Clauses.</w:t>
      </w:r>
    </w:p>
    <w:p w14:paraId="073BECA5">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B717475">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Parties shall be able to demonstrate compliance with these Clauses. In particular, the data importer shall keep appropriate documentation on the processing activities carried out on behalf of the data exporter.</w:t>
      </w:r>
    </w:p>
    <w:p w14:paraId="1D5C8F4A">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5B3D38D0">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make available to the data exporter all information necessary to demonstrate compliance with the obligations set out in these Clauses and at the data exporter’s request, allow for and contribute to audits of the processing activities covered by these Clauses, at reasonable intervals or if there are indications of non-compliance. In deciding on a review or audit, the data exporter may take into account relevant certifications held by the data importer.</w:t>
      </w:r>
    </w:p>
    <w:p w14:paraId="0C07A351">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27F64EF8">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The data exporter may choose to conduct the audit by itself or mandate an independent auditor. Audits may include inspections at the premises or physical facilities of the data importer and shall, where appropriate, be carried out with reasonable notice.</w:t>
      </w:r>
    </w:p>
    <w:p w14:paraId="394239A3">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558B8728">
      <w:pPr>
        <w:pStyle w:val="4"/>
        <w:keepNext w:val="0"/>
        <w:keepLines w:val="0"/>
        <w:pageBreakBefore w:val="0"/>
        <w:widowControl/>
        <w:suppressLineNumbers w:val="0"/>
        <w:tabs>
          <w:tab w:val="left" w:pos="23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(e)</w:t>
      </w:r>
      <w:r>
        <w:rPr>
          <w:rFonts w:hint="default" w:ascii="Times New Roman" w:hAnsi="Times New Roman" w:cs="Times New Roman"/>
          <w:sz w:val="24"/>
          <w:szCs w:val="24"/>
        </w:rPr>
        <w:tab/>
      </w:r>
      <w:r>
        <w:rPr>
          <w:rFonts w:hint="default" w:ascii="Times New Roman" w:hAnsi="Times New Roman" w:cs="Times New Roman"/>
          <w:sz w:val="24"/>
          <w:szCs w:val="24"/>
        </w:rPr>
        <w:t>The Parties shall make the information referred to in paragraphs (b) and (c), including the results of any audits, available to the competent supervisory authority on request.</w:t>
      </w:r>
    </w:p>
    <w:p w14:paraId="37D1580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9</w:t>
      </w:r>
    </w:p>
    <w:p w14:paraId="36F32F6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Use of sub-processors</w:t>
      </w:r>
    </w:p>
    <w:p w14:paraId="4BBA03B8">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MODULE TWO: Transfer controller to processor</w:t>
      </w:r>
    </w:p>
    <w:p w14:paraId="617DADBB">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 xml:space="preserve">GENERAL WRITTEN AUTHORISATION The data importer has the data exporter’s general authorisation for the engagement of sub-processor(s) from an agreed list. The data importer shall specifically inform the data exporter in writing of any intended changes to that list through the addition or replacement of sub-processors at least </w:t>
      </w:r>
      <w:r>
        <w:rPr>
          <w:rFonts w:hint="eastAsia" w:ascii="Times New Roman" w:hAnsi="Times New Roman" w:cs="Times New Roman"/>
          <w:sz w:val="24"/>
          <w:szCs w:val="24"/>
          <w:highlight w:val="none"/>
          <w:lang w:val="en-US" w:eastAsia="zh-CN"/>
        </w:rPr>
        <w:t>15 days</w:t>
      </w:r>
      <w:r>
        <w:rPr>
          <w:rFonts w:hint="default" w:ascii="Times New Roman" w:hAnsi="Times New Roman" w:cs="Times New Roman"/>
          <w:sz w:val="24"/>
          <w:szCs w:val="24"/>
        </w:rPr>
        <w:t xml:space="preserve"> in advance, thereby giving the data exporter sufficient time to be able to object to such changes prior to the engagement of the sub-processor(s). The data importer shall provide the data exporter with the information necessary to enable the data exporter to exercise its right to object.</w:t>
      </w:r>
    </w:p>
    <w:p w14:paraId="40405894">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51A510FD">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Where the data importer engages a sub-processor to carry out specific processing activities (on behalf of the data exporter), it shall do so by way of a written contract that provides for, in substance, the same data protection obligations as those binding the data importer under these Clauses, including in terms of third-party beneficiary rights for data subjects. </w:t>
      </w:r>
      <w:r>
        <w:rPr>
          <w:rFonts w:hint="default" w:ascii="Times New Roman" w:hAnsi="Times New Roman" w:cs="Times New Roman"/>
          <w:color w:val="337AB7"/>
          <w:sz w:val="24"/>
          <w:szCs w:val="24"/>
          <w:u w:val="none"/>
        </w:rPr>
        <w:fldChar w:fldCharType="begin"/>
      </w:r>
      <w:r>
        <w:rPr>
          <w:rFonts w:hint="default" w:ascii="Times New Roman" w:hAnsi="Times New Roman" w:cs="Times New Roman"/>
          <w:color w:val="337AB7"/>
          <w:sz w:val="24"/>
          <w:szCs w:val="24"/>
          <w:u w:val="none"/>
        </w:rPr>
        <w:instrText xml:space="preserve"> HYPERLINK "https://eur-lex.europa.eu/legal-content/EN/TXT/HTML/?uri=CELEX:32021D0914&amp;qid=1750758212989" \l "ntr8-L_2021199EN.01003701-E0008" </w:instrText>
      </w:r>
      <w:r>
        <w:rPr>
          <w:rFonts w:hint="default" w:ascii="Times New Roman" w:hAnsi="Times New Roman" w:cs="Times New Roman"/>
          <w:color w:val="337AB7"/>
          <w:sz w:val="24"/>
          <w:szCs w:val="24"/>
          <w:u w:val="none"/>
        </w:rPr>
        <w:fldChar w:fldCharType="separate"/>
      </w:r>
      <w:r>
        <w:rPr>
          <w:rStyle w:val="10"/>
          <w:rFonts w:hint="default" w:ascii="Times New Roman" w:hAnsi="Times New Roman" w:cs="Times New Roman"/>
          <w:color w:val="337AB7"/>
          <w:sz w:val="24"/>
          <w:szCs w:val="24"/>
          <w:u w:val="none"/>
        </w:rPr>
        <w:t>(</w:t>
      </w:r>
      <w:r>
        <w:rPr>
          <w:rStyle w:val="10"/>
          <w:rFonts w:hint="default" w:ascii="Times New Roman" w:hAnsi="Times New Roman" w:cs="Times New Roman"/>
          <w:color w:val="337AB7"/>
          <w:sz w:val="24"/>
          <w:szCs w:val="24"/>
          <w:u w:val="none"/>
          <w:vertAlign w:val="superscript"/>
        </w:rPr>
        <w:t>8</w:t>
      </w:r>
      <w:r>
        <w:rPr>
          <w:rStyle w:val="10"/>
          <w:rFonts w:hint="default" w:ascii="Times New Roman" w:hAnsi="Times New Roman" w:cs="Times New Roman"/>
          <w:color w:val="337AB7"/>
          <w:sz w:val="24"/>
          <w:szCs w:val="24"/>
          <w:u w:val="none"/>
        </w:rPr>
        <w:t>)</w:t>
      </w:r>
      <w:r>
        <w:rPr>
          <w:rFonts w:hint="default" w:ascii="Times New Roman" w:hAnsi="Times New Roman" w:cs="Times New Roman"/>
          <w:color w:val="337AB7"/>
          <w:sz w:val="24"/>
          <w:szCs w:val="24"/>
          <w:u w:val="none"/>
        </w:rPr>
        <w:fldChar w:fldCharType="end"/>
      </w:r>
      <w:r>
        <w:rPr>
          <w:rFonts w:hint="default" w:ascii="Times New Roman" w:hAnsi="Times New Roman" w:cs="Times New Roman"/>
          <w:sz w:val="24"/>
          <w:szCs w:val="24"/>
        </w:rPr>
        <w:t> The Parties agree that, by complying with this Clause, the data importer fulfils its obligations under Clause 8.8. The data importer shall ensure that the sub-processor complies with the obligations to which the data importer is subject pursuant to these Clauses.</w:t>
      </w:r>
    </w:p>
    <w:p w14:paraId="6DD2C940">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32B8530E">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provide, at the data exporter’s request, a copy of such a sub-processor agreement and any subsequent amendments to the data exporter. To the extent necessary to protect business secrets or other confidential information, including personal data, the data importer may redact the text of the agreement prior to sharing a copy.</w:t>
      </w:r>
    </w:p>
    <w:p w14:paraId="3D5DEE40">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E0263F7">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remain fully responsible to the data exporter for the performance of the sub-processor’s obligations under its contract with the data importer. The data importer shall notify the data exporter of any failure by the sub-processor to fulfil its obligations under that contract.</w:t>
      </w:r>
    </w:p>
    <w:p w14:paraId="2BB3E22A">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122909B">
      <w:pPr>
        <w:pStyle w:val="4"/>
        <w:keepNext w:val="0"/>
        <w:keepLines w:val="0"/>
        <w:pageBreakBefore w:val="0"/>
        <w:widowControl/>
        <w:suppressLineNumbers w:val="0"/>
        <w:tabs>
          <w:tab w:val="left" w:pos="23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(e)</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agree a third-party beneficiary clause with the sub-processor whereby – in the event the data importer has factually disappeared, ceased to exist in law or has become insolvent – the data exporter shall have the right to terminate the sub-processor contract and to instruct the sub-processor to erase or return the personal data.</w:t>
      </w:r>
    </w:p>
    <w:p w14:paraId="170830A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10</w:t>
      </w:r>
    </w:p>
    <w:p w14:paraId="2E0B8286">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Data subject rights</w:t>
      </w:r>
    </w:p>
    <w:p w14:paraId="195DA2A8">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MODULE TWO: Transfer controller to processor</w:t>
      </w:r>
    </w:p>
    <w:p w14:paraId="38B5F021">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promptly notify the data exporter of any request it has received from a data subject. It shall not respond to that request itself unless it has been authorised to do so by the data exporter.</w:t>
      </w:r>
    </w:p>
    <w:p w14:paraId="076AC6AB">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325632AB">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assist the data exporter in fulfilling its obligations to respond to data subjects’ requests for the exercise of their rights under Regulation (EU) 2016/679. In this regard, the Parties shall set out in Annex II the appropriate technical and organisational measures, taking into account the nature of the processing, by which the assistance shall be provided, as well as the scope and the extent of the assistance required.</w:t>
      </w:r>
    </w:p>
    <w:p w14:paraId="475A4A89">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AF6CB3C">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In fulfilling its obligations under paragraphs (a) and (b), the data importer shall comply with the instructions from the data exporter.</w:t>
      </w:r>
    </w:p>
    <w:p w14:paraId="7B42226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11</w:t>
      </w:r>
    </w:p>
    <w:p w14:paraId="4B1E132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Redress</w:t>
      </w:r>
    </w:p>
    <w:p w14:paraId="73FD13EC">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inform data subjects in a transparent and easily accessible format, through individual notice or on its website, of a contact point authorised to handle complaints. It shall deal promptly with any complaints it receives from a data subject.</w:t>
      </w:r>
    </w:p>
    <w:p w14:paraId="7CE9E672">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In case of a dispute between a data subject and one of the Parties as regards compliance with these Clauses, that Party shall use its best efforts to resolve the issue amicably in a timely fashion. The Parties shall keep each other informed about such disputes and, where appropriate, cooperate in resolving them.</w:t>
      </w:r>
    </w:p>
    <w:p w14:paraId="779AB350">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2E62EE30">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Where the data subject invokes a third-party beneficiary right pursuant to Clause 3, the data importer shall accept the decision of the data subject to:</w:t>
      </w:r>
    </w:p>
    <w:p w14:paraId="05354E17">
      <w:pPr>
        <w:pStyle w:val="4"/>
        <w:keepNext w:val="0"/>
        <w:keepLines w:val="0"/>
        <w:pageBreakBefore w:val="0"/>
        <w:widowControl/>
        <w:suppressLineNumbers w:val="0"/>
        <w:tabs>
          <w:tab w:val="left" w:pos="176"/>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w:t>
      </w:r>
      <w:r>
        <w:rPr>
          <w:rFonts w:hint="default" w:ascii="Times New Roman" w:hAnsi="Times New Roman" w:cs="Times New Roman"/>
          <w:sz w:val="24"/>
          <w:szCs w:val="24"/>
        </w:rPr>
        <w:tab/>
      </w:r>
      <w:r>
        <w:rPr>
          <w:rFonts w:hint="default" w:ascii="Times New Roman" w:hAnsi="Times New Roman" w:cs="Times New Roman"/>
          <w:sz w:val="24"/>
          <w:szCs w:val="24"/>
        </w:rPr>
        <w:t>lodge a complaint with the supervisory authority in the Member State of his/her habitual residence or place of work, or the competent supervisory authority pursuant to Clause 13;</w:t>
      </w:r>
    </w:p>
    <w:p w14:paraId="3786EE37">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02B1A24">
      <w:pPr>
        <w:pStyle w:val="4"/>
        <w:keepNext w:val="0"/>
        <w:keepLines w:val="0"/>
        <w:pageBreakBefore w:val="0"/>
        <w:widowControl/>
        <w:suppressLineNumbers w:val="0"/>
        <w:tabs>
          <w:tab w:val="left" w:pos="274"/>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(ii)</w:t>
      </w:r>
      <w:r>
        <w:rPr>
          <w:rFonts w:hint="default" w:ascii="Times New Roman" w:hAnsi="Times New Roman" w:cs="Times New Roman"/>
          <w:sz w:val="24"/>
          <w:szCs w:val="24"/>
        </w:rPr>
        <w:tab/>
      </w:r>
      <w:r>
        <w:rPr>
          <w:rFonts w:hint="default" w:ascii="Times New Roman" w:hAnsi="Times New Roman" w:cs="Times New Roman"/>
          <w:sz w:val="24"/>
          <w:szCs w:val="24"/>
        </w:rPr>
        <w:t>refer the dispute to the competent courts within the meaning of Clause 18.</w:t>
      </w:r>
    </w:p>
    <w:p w14:paraId="62397E08">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F5A3ACF">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The Parties accept that the data subject may be represented by a not-for-profit body, organisation or association under the conditions set out in Article 80(1) of Regulation (EU) 2016/679.</w:t>
      </w:r>
    </w:p>
    <w:p w14:paraId="400B35B9">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359F1A6">
      <w:pPr>
        <w:pStyle w:val="4"/>
        <w:keepNext w:val="0"/>
        <w:keepLines w:val="0"/>
        <w:pageBreakBefore w:val="0"/>
        <w:widowControl/>
        <w:suppressLineNumbers w:val="0"/>
        <w:tabs>
          <w:tab w:val="left" w:pos="23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(e)</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abide by a decision that is binding under the applicable EU or Member State law.</w:t>
      </w:r>
    </w:p>
    <w:p w14:paraId="3B35E969">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91D1980">
      <w:pPr>
        <w:pStyle w:val="4"/>
        <w:keepNext w:val="0"/>
        <w:keepLines w:val="0"/>
        <w:pageBreakBefore w:val="0"/>
        <w:widowControl/>
        <w:suppressLineNumbers w:val="0"/>
        <w:tabs>
          <w:tab w:val="left" w:pos="195"/>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(f)</w:t>
      </w:r>
      <w:r>
        <w:rPr>
          <w:rFonts w:hint="default" w:ascii="Times New Roman" w:hAnsi="Times New Roman" w:cs="Times New Roman"/>
          <w:sz w:val="24"/>
          <w:szCs w:val="24"/>
        </w:rPr>
        <w:tab/>
      </w:r>
      <w:r>
        <w:rPr>
          <w:rFonts w:hint="default" w:ascii="Times New Roman" w:hAnsi="Times New Roman" w:cs="Times New Roman"/>
          <w:sz w:val="24"/>
          <w:szCs w:val="24"/>
        </w:rPr>
        <w:t>The data importer agrees that the choice made by the data subject will not prejudice his/her substantive and procedural rights to seek remedies in accordance with applicable laws.</w:t>
      </w:r>
    </w:p>
    <w:p w14:paraId="1882D498">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12</w:t>
      </w:r>
    </w:p>
    <w:p w14:paraId="0219EC4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Liability</w:t>
      </w:r>
    </w:p>
    <w:p w14:paraId="6848FC42">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Each Party shall be liable to the other Party/ies for any damages it causes the other Party/ies by any breach of these Clauses.</w:t>
      </w:r>
    </w:p>
    <w:p w14:paraId="761A8397">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3F921AA">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be liable to the data subject, and the data subject shall be entitled to receive compensation, for any material or non-material damages the data importer or its sub-processor causes the data subject by breaching the third-party beneficiary rights under these Clauses.</w:t>
      </w:r>
    </w:p>
    <w:p w14:paraId="1D3AD580">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3B373579">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Notwithstanding paragraph (b), the data exporter shall be liable to the data subject, and the data subject shall be entitled to receive compensation, for any material or non-material damages the data exporter or the data importer (or its sub-processor) causes the data subject by breaching the third-party beneficiary rights under these Clauses. This is without prejudice to the liability of the data exporter and, where the data exporter is a processor acting on behalf of a controller, to the liability of the controller under Regulation (EU) 2016/679 or Regulation (EU) 2018/1725, as applicable.</w:t>
      </w:r>
    </w:p>
    <w:p w14:paraId="51B52DB9">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5068601D">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The Parties agree that if the data exporter is held liable under paragraph (c) for damages caused by the data importer (or its sub-processor), it shall be entitled to claim back from the data importer that part of the compensation corresponding to the data importer’s responsibility for the damage.</w:t>
      </w:r>
    </w:p>
    <w:p w14:paraId="44E5D85D">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9037940">
      <w:pPr>
        <w:pStyle w:val="4"/>
        <w:keepNext w:val="0"/>
        <w:keepLines w:val="0"/>
        <w:pageBreakBefore w:val="0"/>
        <w:widowControl/>
        <w:suppressLineNumbers w:val="0"/>
        <w:tabs>
          <w:tab w:val="left" w:pos="23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(e)</w:t>
      </w:r>
      <w:r>
        <w:rPr>
          <w:rFonts w:hint="default" w:ascii="Times New Roman" w:hAnsi="Times New Roman" w:cs="Times New Roman"/>
          <w:sz w:val="24"/>
          <w:szCs w:val="24"/>
        </w:rPr>
        <w:tab/>
      </w:r>
      <w:r>
        <w:rPr>
          <w:rFonts w:hint="default" w:ascii="Times New Roman" w:hAnsi="Times New Roman" w:cs="Times New Roman"/>
          <w:sz w:val="24"/>
          <w:szCs w:val="24"/>
        </w:rPr>
        <w:t>Where more than one Party is responsible for any damage caused to the data subject as a result of a breach of these Clauses, all responsible Parties shall be jointly and severally liable and the data subject is entitled to bring an action in court against any of these Parties.</w:t>
      </w:r>
    </w:p>
    <w:p w14:paraId="58B4AD83">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3EB1788B">
      <w:pPr>
        <w:pStyle w:val="4"/>
        <w:keepNext w:val="0"/>
        <w:keepLines w:val="0"/>
        <w:pageBreakBefore w:val="0"/>
        <w:widowControl/>
        <w:suppressLineNumbers w:val="0"/>
        <w:tabs>
          <w:tab w:val="left" w:pos="195"/>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(f)</w:t>
      </w:r>
      <w:r>
        <w:rPr>
          <w:rFonts w:hint="default" w:ascii="Times New Roman" w:hAnsi="Times New Roman" w:cs="Times New Roman"/>
          <w:sz w:val="24"/>
          <w:szCs w:val="24"/>
        </w:rPr>
        <w:tab/>
      </w:r>
      <w:r>
        <w:rPr>
          <w:rFonts w:hint="default" w:ascii="Times New Roman" w:hAnsi="Times New Roman" w:cs="Times New Roman"/>
          <w:sz w:val="24"/>
          <w:szCs w:val="24"/>
        </w:rPr>
        <w:t>The Parties agree that if one Party is held liable under paragraph (e), it shall be entitled to claim back from the other Party/ies that part of the compensation corresponding to its/their responsibility for the damage.</w:t>
      </w:r>
    </w:p>
    <w:p w14:paraId="42347BC1">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32759C0">
      <w:pPr>
        <w:pStyle w:val="4"/>
        <w:keepNext w:val="0"/>
        <w:keepLines w:val="0"/>
        <w:pageBreakBefore w:val="0"/>
        <w:widowControl/>
        <w:suppressLineNumbers w:val="0"/>
        <w:tabs>
          <w:tab w:val="left" w:pos="239"/>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(g)</w:t>
      </w:r>
      <w:r>
        <w:rPr>
          <w:rFonts w:hint="default" w:ascii="Times New Roman" w:hAnsi="Times New Roman" w:cs="Times New Roman"/>
          <w:sz w:val="24"/>
          <w:szCs w:val="24"/>
        </w:rPr>
        <w:tab/>
      </w:r>
      <w:r>
        <w:rPr>
          <w:rFonts w:hint="default" w:ascii="Times New Roman" w:hAnsi="Times New Roman" w:cs="Times New Roman"/>
          <w:sz w:val="24"/>
          <w:szCs w:val="24"/>
        </w:rPr>
        <w:t>The data importer may not invoke the conduct of a sub-processor to avoid its own liability.</w:t>
      </w:r>
    </w:p>
    <w:p w14:paraId="6246CF7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13</w:t>
      </w:r>
    </w:p>
    <w:p w14:paraId="38C16C96">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Supervision</w:t>
      </w:r>
    </w:p>
    <w:p w14:paraId="3BF2AE00">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supervisory authority with responsibility for ensuring compliance by the data exporter with Regulation (EU) 2016/679 as regards the data transfer, as indicated in Annex I.C, shall act as competent supervisory authority.</w:t>
      </w:r>
    </w:p>
    <w:p w14:paraId="3B2D0C95">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323D7C02">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data importer agrees to submit itself to the jurisdiction of and cooperate with the competent supervisory authority in any procedures aimed at ensuring compliance with these Clauses. In particular, the data importer agrees to respond to enquiries, submit to audits and comply with the measures adopted by the supervisory authority, including remedial and compensatory measures. It shall provide the supervisory authority with written confirmation that the necessary actions have been taken.</w:t>
      </w:r>
    </w:p>
    <w:p w14:paraId="07410B2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SECTION III – LOCAL LAWS AND OBLIGATIONS IN CASE OF ACCESS BY PUBLIC AUTHORITIES</w:t>
      </w:r>
    </w:p>
    <w:p w14:paraId="198A057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14</w:t>
      </w:r>
    </w:p>
    <w:p w14:paraId="2559ED21">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Local laws and practices affecting compliance with the Clauses</w:t>
      </w:r>
    </w:p>
    <w:p w14:paraId="0E5CE3A5">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Parties warrant that they have no reason to believe that the laws and practices in the third country of destination applicable to the processing of the personal data by the data importer, including any requirements to disclose personal data or measures authorising access by public authorities, prevent the data importer from fulfilling its obligations under these Clauses. This is based on the understanding that laws and practices that respect the essence of the fundamental rights and freedoms and do not exceed what is necessary and proportionate in a democratic society to safeguard one of the objectives listed in Article 23(1) of Regulation (EU) 2016/679, are not in contradiction with these Clauses.</w:t>
      </w:r>
    </w:p>
    <w:p w14:paraId="1BCEFC70">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8BC10F7">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Parties declare that in providing the warranty in paragraph (a), they have taken due account in particular of the following elements:</w:t>
      </w:r>
    </w:p>
    <w:p w14:paraId="244B8165">
      <w:pPr>
        <w:pStyle w:val="4"/>
        <w:keepNext w:val="0"/>
        <w:keepLines w:val="0"/>
        <w:pageBreakBefore w:val="0"/>
        <w:widowControl/>
        <w:suppressLineNumbers w:val="0"/>
        <w:tabs>
          <w:tab w:val="left" w:pos="176"/>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w:t>
      </w:r>
      <w:r>
        <w:rPr>
          <w:rFonts w:hint="default" w:ascii="Times New Roman" w:hAnsi="Times New Roman" w:cs="Times New Roman"/>
          <w:sz w:val="24"/>
          <w:szCs w:val="24"/>
        </w:rPr>
        <w:tab/>
      </w:r>
      <w:r>
        <w:rPr>
          <w:rFonts w:hint="default" w:ascii="Times New Roman" w:hAnsi="Times New Roman" w:cs="Times New Roman"/>
          <w:sz w:val="24"/>
          <w:szCs w:val="24"/>
        </w:rPr>
        <w:t>the specific circumstances of the transfer, including the length of the processing chain, the number of actors involved and the transmission channels used; intended onward transfers; the type of recipient; the purpose of processing; the categories and format of the transferred personal data; the economic sector in which the transfer occurs; the storage location of the data transferred;</w:t>
      </w:r>
    </w:p>
    <w:p w14:paraId="08CFE337">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CA572BB">
      <w:pPr>
        <w:pStyle w:val="4"/>
        <w:keepNext w:val="0"/>
        <w:keepLines w:val="0"/>
        <w:pageBreakBefore w:val="0"/>
        <w:widowControl/>
        <w:suppressLineNumbers w:val="0"/>
        <w:tabs>
          <w:tab w:val="left" w:pos="224"/>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(ii)</w:t>
      </w:r>
      <w:r>
        <w:rPr>
          <w:rFonts w:hint="default" w:ascii="Times New Roman" w:hAnsi="Times New Roman" w:cs="Times New Roman"/>
          <w:sz w:val="24"/>
          <w:szCs w:val="24"/>
        </w:rPr>
        <w:tab/>
      </w:r>
      <w:r>
        <w:rPr>
          <w:rFonts w:hint="default" w:ascii="Times New Roman" w:hAnsi="Times New Roman" w:cs="Times New Roman"/>
          <w:sz w:val="24"/>
          <w:szCs w:val="24"/>
        </w:rPr>
        <w:t>the laws and practices of the third country of destination– including those requiring the disclosure of data to public authorities or authorising access by such authorities – relevant in light of the specific circumstances of the transfer, and the applicable limitations and safeguards </w:t>
      </w:r>
      <w:r>
        <w:rPr>
          <w:rFonts w:hint="default" w:ascii="Times New Roman" w:hAnsi="Times New Roman" w:cs="Times New Roman"/>
          <w:color w:val="337AB7"/>
          <w:sz w:val="24"/>
          <w:szCs w:val="24"/>
          <w:u w:val="none"/>
        </w:rPr>
        <w:fldChar w:fldCharType="begin"/>
      </w:r>
      <w:r>
        <w:rPr>
          <w:rFonts w:hint="default" w:ascii="Times New Roman" w:hAnsi="Times New Roman" w:cs="Times New Roman"/>
          <w:color w:val="337AB7"/>
          <w:sz w:val="24"/>
          <w:szCs w:val="24"/>
          <w:u w:val="none"/>
        </w:rPr>
        <w:instrText xml:space="preserve"> HYPERLINK "https://eur-lex.europa.eu/legal-content/EN/TXT/HTML/?uri=CELEX:32021D0914&amp;qid=1750758212989" \l "ntr12-L_2021199EN.01003701-E0012" </w:instrText>
      </w:r>
      <w:r>
        <w:rPr>
          <w:rFonts w:hint="default" w:ascii="Times New Roman" w:hAnsi="Times New Roman" w:cs="Times New Roman"/>
          <w:color w:val="337AB7"/>
          <w:sz w:val="24"/>
          <w:szCs w:val="24"/>
          <w:u w:val="none"/>
        </w:rPr>
        <w:fldChar w:fldCharType="separate"/>
      </w:r>
      <w:r>
        <w:rPr>
          <w:rStyle w:val="10"/>
          <w:rFonts w:hint="default" w:ascii="Times New Roman" w:hAnsi="Times New Roman" w:cs="Times New Roman"/>
          <w:color w:val="337AB7"/>
          <w:sz w:val="24"/>
          <w:szCs w:val="24"/>
          <w:u w:val="none"/>
        </w:rPr>
        <w:t>(</w:t>
      </w:r>
      <w:r>
        <w:rPr>
          <w:rStyle w:val="10"/>
          <w:rFonts w:hint="default" w:ascii="Times New Roman" w:hAnsi="Times New Roman" w:cs="Times New Roman"/>
          <w:color w:val="337AB7"/>
          <w:sz w:val="24"/>
          <w:szCs w:val="24"/>
          <w:u w:val="none"/>
          <w:vertAlign w:val="superscript"/>
        </w:rPr>
        <w:t>12</w:t>
      </w:r>
      <w:r>
        <w:rPr>
          <w:rStyle w:val="10"/>
          <w:rFonts w:hint="default" w:ascii="Times New Roman" w:hAnsi="Times New Roman" w:cs="Times New Roman"/>
          <w:color w:val="337AB7"/>
          <w:sz w:val="24"/>
          <w:szCs w:val="24"/>
          <w:u w:val="none"/>
        </w:rPr>
        <w:t>)</w:t>
      </w:r>
      <w:r>
        <w:rPr>
          <w:rFonts w:hint="default" w:ascii="Times New Roman" w:hAnsi="Times New Roman" w:cs="Times New Roman"/>
          <w:color w:val="337AB7"/>
          <w:sz w:val="24"/>
          <w:szCs w:val="24"/>
          <w:u w:val="none"/>
        </w:rPr>
        <w:fldChar w:fldCharType="end"/>
      </w:r>
      <w:r>
        <w:rPr>
          <w:rFonts w:hint="default" w:ascii="Times New Roman" w:hAnsi="Times New Roman" w:cs="Times New Roman"/>
          <w:sz w:val="24"/>
          <w:szCs w:val="24"/>
        </w:rPr>
        <w:t>;</w:t>
      </w:r>
    </w:p>
    <w:p w14:paraId="4D00C617">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5BE3A037">
      <w:pPr>
        <w:pStyle w:val="4"/>
        <w:keepNext w:val="0"/>
        <w:keepLines w:val="0"/>
        <w:pageBreakBefore w:val="0"/>
        <w:widowControl/>
        <w:suppressLineNumbers w:val="0"/>
        <w:tabs>
          <w:tab w:val="left" w:pos="27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(iii)</w:t>
      </w:r>
      <w:r>
        <w:rPr>
          <w:rFonts w:hint="default" w:ascii="Times New Roman" w:hAnsi="Times New Roman" w:cs="Times New Roman"/>
          <w:sz w:val="24"/>
          <w:szCs w:val="24"/>
        </w:rPr>
        <w:tab/>
      </w:r>
      <w:r>
        <w:rPr>
          <w:rFonts w:hint="default" w:ascii="Times New Roman" w:hAnsi="Times New Roman" w:cs="Times New Roman"/>
          <w:sz w:val="24"/>
          <w:szCs w:val="24"/>
        </w:rPr>
        <w:t>any relevant contractual, technical or organisational safeguards put in place to supplement the safeguards under these Clauses, including measures applied during transmission and to the processing of the personal data in the country of destination.</w:t>
      </w:r>
    </w:p>
    <w:p w14:paraId="61CAFA44">
      <w:pPr>
        <w:keepNext w:val="0"/>
        <w:keepLines w:val="0"/>
        <w:pageBreakBefore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p>
    <w:p w14:paraId="4F729B31">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9D880FE">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The data importer warrants that, in carrying out the assessment under paragraph (b), it has made its best efforts to provide the data exporter with relevant information and agrees that it will continue to cooperate with the data exporter in ensuring compliance with these Clauses.</w:t>
      </w:r>
    </w:p>
    <w:p w14:paraId="7756E0F2">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08137A3">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The Parties agree to document the assessment under paragraph (b) and make it available to the competent supervisory authority on request.</w:t>
      </w:r>
    </w:p>
    <w:p w14:paraId="47A4D979">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578DE2A">
      <w:pPr>
        <w:pStyle w:val="4"/>
        <w:keepNext w:val="0"/>
        <w:keepLines w:val="0"/>
        <w:pageBreakBefore w:val="0"/>
        <w:widowControl/>
        <w:suppressLineNumbers w:val="0"/>
        <w:tabs>
          <w:tab w:val="left" w:pos="23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(e)</w:t>
      </w:r>
      <w:r>
        <w:rPr>
          <w:rFonts w:hint="default" w:ascii="Times New Roman" w:hAnsi="Times New Roman" w:cs="Times New Roman"/>
          <w:sz w:val="24"/>
          <w:szCs w:val="24"/>
        </w:rPr>
        <w:tab/>
      </w:r>
      <w:r>
        <w:rPr>
          <w:rFonts w:hint="default" w:ascii="Times New Roman" w:hAnsi="Times New Roman" w:cs="Times New Roman"/>
          <w:sz w:val="24"/>
          <w:szCs w:val="24"/>
        </w:rPr>
        <w:t xml:space="preserve">The data importer agrees to notify the data exporter promptly if, after having agreed to these Clauses and for the duration of the contract, it has reason to believe that it is or has become subject to laws or practices not in line with the requirements under paragraph (a), including following a change in the laws of the third country or a measure (such as a disclosure request) indicating an application of such laws in practice that is not in line with the requirements in paragraph (a). </w:t>
      </w:r>
    </w:p>
    <w:p w14:paraId="111C9925">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551909C2">
      <w:pPr>
        <w:pStyle w:val="4"/>
        <w:keepNext w:val="0"/>
        <w:keepLines w:val="0"/>
        <w:pageBreakBefore w:val="0"/>
        <w:widowControl/>
        <w:suppressLineNumbers w:val="0"/>
        <w:tabs>
          <w:tab w:val="left" w:pos="195"/>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(f)</w:t>
      </w:r>
      <w:r>
        <w:rPr>
          <w:rFonts w:hint="default" w:ascii="Times New Roman" w:hAnsi="Times New Roman" w:cs="Times New Roman"/>
          <w:sz w:val="24"/>
          <w:szCs w:val="24"/>
        </w:rPr>
        <w:tab/>
      </w:r>
      <w:r>
        <w:rPr>
          <w:rFonts w:hint="default" w:ascii="Times New Roman" w:hAnsi="Times New Roman" w:cs="Times New Roman"/>
          <w:sz w:val="24"/>
          <w:szCs w:val="24"/>
        </w:rPr>
        <w:t>Following a notification pursuant to paragraph (e), or if the data exporter otherwise has reason to believe that the data importer can no longer fulfil its obligations under these Clauses, the data exporter shall promptly identify appropriate measures (e.g. technical or organisational measures to ensure security and confidentiality) to be adopted by the data exporter and/or data importer to address the situation. The data exporter shall suspend the data transfer if it considers that no appropriate safeguards for such transfer can be ensured, or if instructed by</w:t>
      </w:r>
      <w:r>
        <w:rPr>
          <w:rFonts w:hint="eastAsia" w:ascii="Times New Roman" w:hAnsi="Times New Roman" w:cs="Times New Roman"/>
          <w:sz w:val="24"/>
          <w:szCs w:val="24"/>
          <w:lang w:val="en-US" w:eastAsia="zh-CN"/>
        </w:rPr>
        <w:t xml:space="preserve"> </w:t>
      </w:r>
      <w:r>
        <w:rPr>
          <w:rFonts w:hint="default" w:ascii="Times New Roman" w:hAnsi="Times New Roman" w:cs="Times New Roman"/>
          <w:sz w:val="24"/>
          <w:szCs w:val="24"/>
        </w:rPr>
        <w:t>the competent supervisory authority to do so. In this case, the data exporter shall be entitled to terminate the contract, insofar as it concerns the processing of personal data under these Clauses. If the contract involves more than two Parties, the data exporter may exercise this right to termination only with respect to the relevant Party, unless the Parties have agreed otherwise. Where the contract is terminated pursuant to this Clause, Clause 16(d) and (e) shall apply.</w:t>
      </w:r>
    </w:p>
    <w:p w14:paraId="163471D3">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15</w:t>
      </w:r>
    </w:p>
    <w:p w14:paraId="46BBE87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Obligations of the data importer in case of access by public authorities</w:t>
      </w:r>
    </w:p>
    <w:p w14:paraId="218629F6">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15.1   Notification</w:t>
      </w:r>
    </w:p>
    <w:p w14:paraId="3D89C91E">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data importer agrees to notify the data exporter and, where possible, the data subject promptly (if necessary with the help of the data exporter) if it:</w:t>
      </w:r>
    </w:p>
    <w:p w14:paraId="55D9264C">
      <w:pPr>
        <w:pStyle w:val="4"/>
        <w:keepNext w:val="0"/>
        <w:keepLines w:val="0"/>
        <w:pageBreakBefore w:val="0"/>
        <w:widowControl/>
        <w:suppressLineNumbers w:val="0"/>
        <w:tabs>
          <w:tab w:val="left" w:pos="176"/>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w:t>
      </w:r>
      <w:r>
        <w:rPr>
          <w:rFonts w:hint="default" w:ascii="Times New Roman" w:hAnsi="Times New Roman" w:cs="Times New Roman"/>
          <w:sz w:val="24"/>
          <w:szCs w:val="24"/>
        </w:rPr>
        <w:tab/>
      </w:r>
      <w:r>
        <w:rPr>
          <w:rFonts w:hint="default" w:ascii="Times New Roman" w:hAnsi="Times New Roman" w:cs="Times New Roman"/>
          <w:sz w:val="24"/>
          <w:szCs w:val="24"/>
        </w:rPr>
        <w:t>receives a legally binding request from a public authority, including judicial authorities, under the laws of the country of destination for the disclosure of personal data transferred pursuant to these Clauses; such notification shall include information about the personal data requested, the requesting authority, the legal basis for the request and the response provided; or</w:t>
      </w:r>
    </w:p>
    <w:p w14:paraId="4840AC46">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305B08B">
      <w:pPr>
        <w:pStyle w:val="4"/>
        <w:keepNext w:val="0"/>
        <w:keepLines w:val="0"/>
        <w:pageBreakBefore w:val="0"/>
        <w:widowControl/>
        <w:suppressLineNumbers w:val="0"/>
        <w:tabs>
          <w:tab w:val="left" w:pos="224"/>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(ii)</w:t>
      </w:r>
      <w:r>
        <w:rPr>
          <w:rFonts w:hint="default" w:ascii="Times New Roman" w:hAnsi="Times New Roman" w:cs="Times New Roman"/>
          <w:sz w:val="24"/>
          <w:szCs w:val="24"/>
        </w:rPr>
        <w:tab/>
      </w:r>
      <w:r>
        <w:rPr>
          <w:rFonts w:hint="default" w:ascii="Times New Roman" w:hAnsi="Times New Roman" w:cs="Times New Roman"/>
          <w:sz w:val="24"/>
          <w:szCs w:val="24"/>
        </w:rPr>
        <w:t>becomes aware of any direct access by public authorities to personal data transferred pursuant to these Clauses in accordance with the laws of the country of destination; such notification shall include all information available to the importer.</w:t>
      </w:r>
    </w:p>
    <w:p w14:paraId="7C8B9FAC">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B0834D5">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If the data importer is prohibited from notifying the data exporter and/or the data subject under the laws of the country of destination, the data importer agrees to use its best efforts to obtain a waiver of the prohibition, with a view to communicating as much information as possible, as soon as possible. The data importer agrees to document its best efforts in order to be able to demonstrate them on request of the data exporter.</w:t>
      </w:r>
    </w:p>
    <w:p w14:paraId="78D02080">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3B92830">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Where permissible under the laws of the country of destination, the data importer agrees to provide the data exporter, at regular intervals for the duration of the contract, with as much relevant information as possible on the requests received (in particular, number of requests, type of data requested, requesting authority/ies, whether requests have been challenged and the outcome of such challenges, etc.).</w:t>
      </w:r>
    </w:p>
    <w:p w14:paraId="77281471">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C370A07">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The data importer agrees to preserve the information pursuant to paragraphs (a) to (c) for the duration of the contract and make it available to the competent supervisory authority on request.</w:t>
      </w:r>
    </w:p>
    <w:p w14:paraId="7C256CB2">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2E6BF7BE">
      <w:pPr>
        <w:pStyle w:val="4"/>
        <w:keepNext w:val="0"/>
        <w:keepLines w:val="0"/>
        <w:pageBreakBefore w:val="0"/>
        <w:widowControl/>
        <w:suppressLineNumbers w:val="0"/>
        <w:tabs>
          <w:tab w:val="left" w:pos="23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(e)</w:t>
      </w:r>
      <w:r>
        <w:rPr>
          <w:rFonts w:hint="default" w:ascii="Times New Roman" w:hAnsi="Times New Roman" w:cs="Times New Roman"/>
          <w:sz w:val="24"/>
          <w:szCs w:val="24"/>
        </w:rPr>
        <w:tab/>
      </w:r>
      <w:r>
        <w:rPr>
          <w:rFonts w:hint="default" w:ascii="Times New Roman" w:hAnsi="Times New Roman" w:cs="Times New Roman"/>
          <w:sz w:val="24"/>
          <w:szCs w:val="24"/>
        </w:rPr>
        <w:t>Paragraphs (a) to (c) are without prejudice to the obligation of the data importer pursuant to Clause 14(e) and Clause 16 to inform the data exporter promptly where it is unable to comply with these Clauses.</w:t>
      </w:r>
    </w:p>
    <w:p w14:paraId="7278AED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15.2   Review of legality and data minimisation</w:t>
      </w:r>
    </w:p>
    <w:p w14:paraId="50909DF7">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data importer agrees to review the legality of the request for disclosure, in particular whether it remains within the powers granted to the requesting public authority, and to challenge the request if, after careful assessment, it concludes that there are reasonable grounds to consider that the request is unlawful under the laws of the country of destination, applicable obligations under international law and principles of international comity. The data importer shall, under the same conditions, pursue possibilities of appeal. When challenging a request, the data importer shall seek interim measures with a view to suspending the effects of the request until the competent judicial authority has decided on its merits. It shall not disclose the personal data requested until required to do so under the applicable procedural rules. These requirements are without prejudice to the obligations of the data importer under Clause 14(e).</w:t>
      </w:r>
    </w:p>
    <w:p w14:paraId="5D8B579E">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62E0C864">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data importer agrees to document its legal assessment and any challenge to the request for disclosure and, to the extent permissible under the laws of the country of destination, make the documentation available to the data exporter. It shall also make it available to the competent supervisory authority on request. [For Module Three: The data exporter shall make the assessment available to the controller.]</w:t>
      </w:r>
    </w:p>
    <w:p w14:paraId="76287C8F">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4E390722">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The data importer agrees to provide the minimum amount of information permissible when responding to a request for disclosure, based on a reasonable interpretation of the request.</w:t>
      </w:r>
    </w:p>
    <w:p w14:paraId="5DA1005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SECTION IV – FINAL PROVISIONS</w:t>
      </w:r>
    </w:p>
    <w:p w14:paraId="0687C428">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16</w:t>
      </w:r>
    </w:p>
    <w:p w14:paraId="1BBCADD6">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Non-compliance with the Clauses and termination</w:t>
      </w:r>
    </w:p>
    <w:p w14:paraId="0D98472F">
      <w:pPr>
        <w:pStyle w:val="4"/>
        <w:keepNext w:val="0"/>
        <w:keepLines w:val="0"/>
        <w:pageBreakBefore w:val="0"/>
        <w:widowControl/>
        <w:suppressLineNumbers w:val="0"/>
        <w:tabs>
          <w:tab w:val="left" w:pos="22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The data importer shall promptly inform the data exporter if it is unable to comply with these Clauses, for whatever reason.</w:t>
      </w:r>
    </w:p>
    <w:p w14:paraId="568DCD5C">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600AAC5">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In the event that the data importer is in breach of these Clauses or unable to comply with these Clauses, the data exporter shall suspend the transfer of personal data to the data importer until compliance is again ensured or the contract is terminated. This is without prejudice to Clause 14(f).</w:t>
      </w:r>
    </w:p>
    <w:p w14:paraId="1AAFDA4C">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975873A">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The data exporter shall be entitled to terminate the contract, insofar as it concerns the processing of personal data under these Clauses, where:</w:t>
      </w:r>
    </w:p>
    <w:p w14:paraId="4BEE85E5">
      <w:pPr>
        <w:pStyle w:val="4"/>
        <w:keepNext w:val="0"/>
        <w:keepLines w:val="0"/>
        <w:pageBreakBefore w:val="0"/>
        <w:widowControl/>
        <w:suppressLineNumbers w:val="0"/>
        <w:tabs>
          <w:tab w:val="left" w:pos="176"/>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w:t>
      </w:r>
      <w:r>
        <w:rPr>
          <w:rFonts w:hint="default" w:ascii="Times New Roman" w:hAnsi="Times New Roman" w:cs="Times New Roman"/>
          <w:sz w:val="24"/>
          <w:szCs w:val="24"/>
        </w:rPr>
        <w:tab/>
      </w:r>
      <w:r>
        <w:rPr>
          <w:rFonts w:hint="default" w:ascii="Times New Roman" w:hAnsi="Times New Roman" w:cs="Times New Roman"/>
          <w:sz w:val="24"/>
          <w:szCs w:val="24"/>
        </w:rPr>
        <w:t>the data exporter has suspended the transfer of personal data to the data importer pursuant to paragraph (b) and compliance with these Clauses is not restored within a reasonable time and in any event within one month of suspension;</w:t>
      </w:r>
    </w:p>
    <w:p w14:paraId="29C1903D">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000A0C51">
      <w:pPr>
        <w:pStyle w:val="4"/>
        <w:keepNext w:val="0"/>
        <w:keepLines w:val="0"/>
        <w:pageBreakBefore w:val="0"/>
        <w:widowControl/>
        <w:suppressLineNumbers w:val="0"/>
        <w:tabs>
          <w:tab w:val="left" w:pos="276"/>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(ii)</w:t>
      </w:r>
      <w:r>
        <w:rPr>
          <w:rFonts w:hint="default" w:ascii="Times New Roman" w:hAnsi="Times New Roman" w:cs="Times New Roman"/>
          <w:sz w:val="24"/>
          <w:szCs w:val="24"/>
        </w:rPr>
        <w:tab/>
      </w:r>
      <w:r>
        <w:rPr>
          <w:rFonts w:hint="default" w:ascii="Times New Roman" w:hAnsi="Times New Roman" w:cs="Times New Roman"/>
          <w:sz w:val="24"/>
          <w:szCs w:val="24"/>
        </w:rPr>
        <w:t>the data importer is in substantial or persistent breach of these Clauses; or</w:t>
      </w:r>
    </w:p>
    <w:p w14:paraId="7F096830">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2187CBC">
      <w:pPr>
        <w:pStyle w:val="4"/>
        <w:keepNext w:val="0"/>
        <w:keepLines w:val="0"/>
        <w:pageBreakBefore w:val="0"/>
        <w:widowControl/>
        <w:suppressLineNumbers w:val="0"/>
        <w:tabs>
          <w:tab w:val="left" w:pos="27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lang w:val="en-US" w:eastAsia="zh-CN"/>
        </w:rPr>
        <w:tab/>
      </w:r>
      <w:r>
        <w:rPr>
          <w:rFonts w:hint="default" w:ascii="Times New Roman" w:hAnsi="Times New Roman" w:cs="Times New Roman"/>
          <w:sz w:val="24"/>
          <w:szCs w:val="24"/>
        </w:rPr>
        <w:t>(iii)</w:t>
      </w:r>
      <w:r>
        <w:rPr>
          <w:rFonts w:hint="default" w:ascii="Times New Roman" w:hAnsi="Times New Roman" w:cs="Times New Roman"/>
          <w:sz w:val="24"/>
          <w:szCs w:val="24"/>
        </w:rPr>
        <w:tab/>
      </w:r>
      <w:r>
        <w:rPr>
          <w:rFonts w:hint="default" w:ascii="Times New Roman" w:hAnsi="Times New Roman" w:cs="Times New Roman"/>
          <w:sz w:val="24"/>
          <w:szCs w:val="24"/>
        </w:rPr>
        <w:t>the data importer fails to comply with a binding decision of a competent court or supervisory authority regarding its obligations under these Clauses.</w:t>
      </w:r>
    </w:p>
    <w:p w14:paraId="7FAD9EE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In these cases, it shall inform the competent supervisory authority [for Module Three: and the controller] of such non-compliance. Where the contract involves more than two Parties, the data exporter may exercise this right to termination only with respect to the relevant Party, unless the Parties have agreed otherwise.</w:t>
      </w:r>
    </w:p>
    <w:p w14:paraId="03A89EA0">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EB5FAAC">
      <w:pPr>
        <w:pStyle w:val="4"/>
        <w:keepNext w:val="0"/>
        <w:keepLines w:val="0"/>
        <w:pageBreakBefore w:val="0"/>
        <w:widowControl/>
        <w:suppressLineNumbers w:val="0"/>
        <w:tabs>
          <w:tab w:val="left" w:pos="23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[For Modules One, Two and Three: Personal data that has been transferred prior to the termination of the contract pursuant to paragraph (c) shall at the choice of the data exporter immediately be returned to the data exporter or deleted in its entirety. The same shall apply to any copies of the data.] [For Module Four: Personal data collected by the data exporter in the EU that has been transferred prior to the termination of the contract pursuant to paragraph (c) shall immediately be deleted in its entirety, including any copy thereof.] The data importer shall certify the deletion of the data to the data exporter. Until the data is deleted or returned, the data importer shall continue to ensure compliance with these Clauses. In case of local laws applicable to the data importer that prohibit the return or deletion of the transferred personal data, the data importer warrants that it will continue to ensure compliance with these Clauses and will only process the data to the extent and for as long as required under that local law.</w:t>
      </w:r>
    </w:p>
    <w:p w14:paraId="4AD348C9">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76476A85">
      <w:pPr>
        <w:pStyle w:val="4"/>
        <w:keepNext w:val="0"/>
        <w:keepLines w:val="0"/>
        <w:pageBreakBefore w:val="0"/>
        <w:widowControl/>
        <w:suppressLineNumbers w:val="0"/>
        <w:tabs>
          <w:tab w:val="left" w:pos="232"/>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(e)</w:t>
      </w:r>
      <w:r>
        <w:rPr>
          <w:rFonts w:hint="default" w:ascii="Times New Roman" w:hAnsi="Times New Roman" w:cs="Times New Roman"/>
          <w:sz w:val="24"/>
          <w:szCs w:val="24"/>
        </w:rPr>
        <w:tab/>
      </w:r>
      <w:r>
        <w:rPr>
          <w:rFonts w:hint="default" w:ascii="Times New Roman" w:hAnsi="Times New Roman" w:cs="Times New Roman"/>
          <w:sz w:val="24"/>
          <w:szCs w:val="24"/>
        </w:rPr>
        <w:t>Either Party may revoke its agreement to be bound by these Clauses where (i) the European Commission adopts a decision pursuant to Article 45(3) of Regulation (EU) 2016/679 that covers the transfer of personal data to which these Clauses apply; or (ii) Regulation (EU) 2016/679 becomes part of the legal framework of the country to which the personal data is transferred. This is without prejudice to other obligations applying to the processing in question under Regulation (EU) 2016/679.</w:t>
      </w:r>
    </w:p>
    <w:p w14:paraId="3BF7DEE3">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17</w:t>
      </w:r>
    </w:p>
    <w:p w14:paraId="1DF9F2A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Governing law</w:t>
      </w:r>
    </w:p>
    <w:p w14:paraId="7093547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highlight w:val="none"/>
        </w:rPr>
      </w:pPr>
      <w:bookmarkStart w:id="0" w:name="OLE_LINK1"/>
      <w:r>
        <w:rPr>
          <w:rFonts w:hint="default" w:ascii="Times New Roman" w:hAnsi="Times New Roman" w:cs="Times New Roman"/>
          <w:i w:val="0"/>
          <w:iCs w:val="0"/>
          <w:caps w:val="0"/>
          <w:color w:val="000000"/>
          <w:spacing w:val="0"/>
          <w:sz w:val="24"/>
          <w:szCs w:val="24"/>
          <w:shd w:val="clear" w:fill="FFFFFF"/>
        </w:rPr>
        <w:t xml:space="preserve">These Clauses shall be governed by the law of the EU Member State in which the data exporter is established. Where such law does not allow for third-party beneficiary rights, they shall be governed by the law of another EU Member State that does allow for third-party beneficiary rights. The Parties agree that this shall be the law of </w:t>
      </w:r>
      <w:r>
        <w:rPr>
          <w:rFonts w:hint="default" w:ascii="Times New Roman" w:hAnsi="Times New Roman" w:cs="Times New Roman"/>
          <w:i w:val="0"/>
          <w:iCs w:val="0"/>
          <w:caps w:val="0"/>
          <w:color w:val="000000"/>
          <w:spacing w:val="0"/>
          <w:sz w:val="24"/>
          <w:szCs w:val="24"/>
          <w:highlight w:val="none"/>
          <w:shd w:val="clear" w:fill="FFFFFF"/>
        </w:rPr>
        <w:t>_</w:t>
      </w:r>
      <w:r>
        <w:rPr>
          <w:rFonts w:hint="eastAsia" w:ascii="Times New Roman" w:hAnsi="Times New Roman" w:cs="Times New Roman"/>
          <w:i w:val="0"/>
          <w:iCs w:val="0"/>
          <w:caps w:val="0"/>
          <w:color w:val="000000"/>
          <w:spacing w:val="0"/>
          <w:sz w:val="24"/>
          <w:szCs w:val="24"/>
          <w:highlight w:val="none"/>
          <w:shd w:val="clear" w:fill="FFFFFF"/>
          <w:lang w:val="en-US" w:eastAsia="zh-CN"/>
        </w:rPr>
        <w:t>Hungary</w:t>
      </w:r>
      <w:r>
        <w:rPr>
          <w:rFonts w:hint="default" w:ascii="Times New Roman" w:hAnsi="Times New Roman" w:cs="Times New Roman"/>
          <w:i w:val="0"/>
          <w:iCs w:val="0"/>
          <w:caps w:val="0"/>
          <w:color w:val="000000"/>
          <w:spacing w:val="0"/>
          <w:sz w:val="24"/>
          <w:szCs w:val="24"/>
          <w:highlight w:val="none"/>
          <w:shd w:val="clear" w:fill="FFFFFF"/>
        </w:rPr>
        <w:t>_ (</w:t>
      </w:r>
      <w:r>
        <w:rPr>
          <w:rFonts w:hint="default" w:ascii="Times New Roman" w:hAnsi="Times New Roman" w:cs="Times New Roman"/>
          <w:i/>
          <w:iCs/>
          <w:caps w:val="0"/>
          <w:color w:val="000000"/>
          <w:spacing w:val="0"/>
          <w:sz w:val="24"/>
          <w:szCs w:val="24"/>
          <w:highlight w:val="none"/>
          <w:shd w:val="clear" w:fill="FFFFFF"/>
        </w:rPr>
        <w:t>specify Member State</w:t>
      </w:r>
      <w:r>
        <w:rPr>
          <w:rFonts w:hint="default" w:ascii="Times New Roman" w:hAnsi="Times New Roman" w:cs="Times New Roman"/>
          <w:i w:val="0"/>
          <w:iCs w:val="0"/>
          <w:caps w:val="0"/>
          <w:color w:val="000000"/>
          <w:spacing w:val="0"/>
          <w:sz w:val="24"/>
          <w:szCs w:val="24"/>
          <w:highlight w:val="none"/>
          <w:shd w:val="clear" w:fill="FFFFFF"/>
        </w:rPr>
        <w:t>).</w:t>
      </w:r>
    </w:p>
    <w:p w14:paraId="2B1D20B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iCs/>
          <w:caps w:val="0"/>
          <w:color w:val="000000"/>
          <w:spacing w:val="0"/>
          <w:sz w:val="24"/>
          <w:szCs w:val="24"/>
          <w:shd w:val="clear" w:fill="FFFFFF"/>
        </w:rPr>
        <w:t>Clause 18</w:t>
      </w:r>
    </w:p>
    <w:bookmarkEnd w:id="0"/>
    <w:p w14:paraId="2982BFB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Choice of forum and jurisdiction</w:t>
      </w:r>
    </w:p>
    <w:p w14:paraId="3D3C1B62">
      <w:pPr>
        <w:pStyle w:val="4"/>
        <w:keepNext w:val="0"/>
        <w:keepLines w:val="0"/>
        <w:pageBreakBefore w:val="0"/>
        <w:widowControl/>
        <w:suppressLineNumbers w:val="0"/>
        <w:tabs>
          <w:tab w:val="left" w:pos="230"/>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w:t>
      </w:r>
      <w:r>
        <w:rPr>
          <w:rFonts w:hint="default" w:ascii="Times New Roman" w:hAnsi="Times New Roman" w:cs="Times New Roman"/>
          <w:sz w:val="24"/>
          <w:szCs w:val="24"/>
        </w:rPr>
        <w:tab/>
      </w:r>
      <w:r>
        <w:rPr>
          <w:rFonts w:hint="default" w:ascii="Times New Roman" w:hAnsi="Times New Roman" w:cs="Times New Roman"/>
          <w:sz w:val="24"/>
          <w:szCs w:val="24"/>
        </w:rPr>
        <w:t>Any dispute arising from these Clauses shall be resolved by the courts of an EU Member State.</w:t>
      </w:r>
    </w:p>
    <w:p w14:paraId="03A83946">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2E017101">
      <w:pPr>
        <w:pStyle w:val="4"/>
        <w:keepNext w:val="0"/>
        <w:keepLines w:val="0"/>
        <w:pageBreakBefore w:val="0"/>
        <w:widowControl/>
        <w:suppressLineNumbers w:val="0"/>
        <w:tabs>
          <w:tab w:val="left" w:pos="278"/>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highlight w:val="none"/>
        </w:rPr>
      </w:pPr>
      <w:r>
        <w:rPr>
          <w:rFonts w:hint="default" w:ascii="Times New Roman" w:hAnsi="Times New Roman" w:cs="Times New Roman"/>
          <w:sz w:val="24"/>
          <w:szCs w:val="24"/>
        </w:rPr>
        <w:t>(b)</w:t>
      </w:r>
      <w:r>
        <w:rPr>
          <w:rFonts w:hint="default" w:ascii="Times New Roman" w:hAnsi="Times New Roman" w:cs="Times New Roman"/>
          <w:sz w:val="24"/>
          <w:szCs w:val="24"/>
        </w:rPr>
        <w:tab/>
      </w:r>
      <w:r>
        <w:rPr>
          <w:rFonts w:hint="default" w:ascii="Times New Roman" w:hAnsi="Times New Roman" w:cs="Times New Roman"/>
          <w:sz w:val="24"/>
          <w:szCs w:val="24"/>
        </w:rPr>
        <w:t>The Parties agree that those shall be the courts o</w:t>
      </w:r>
      <w:r>
        <w:rPr>
          <w:rFonts w:hint="default" w:ascii="Times New Roman" w:hAnsi="Times New Roman" w:cs="Times New Roman"/>
          <w:sz w:val="24"/>
          <w:szCs w:val="24"/>
          <w:highlight w:val="none"/>
        </w:rPr>
        <w:t>f __</w:t>
      </w:r>
      <w:r>
        <w:rPr>
          <w:rFonts w:hint="eastAsia" w:ascii="Times New Roman" w:hAnsi="Times New Roman" w:cs="Times New Roman"/>
          <w:sz w:val="24"/>
          <w:szCs w:val="24"/>
          <w:highlight w:val="none"/>
          <w:lang w:val="en-US" w:eastAsia="zh-CN"/>
        </w:rPr>
        <w:t>Hungary</w:t>
      </w:r>
      <w:r>
        <w:rPr>
          <w:rFonts w:hint="default" w:ascii="Times New Roman" w:hAnsi="Times New Roman" w:cs="Times New Roman"/>
          <w:sz w:val="24"/>
          <w:szCs w:val="24"/>
          <w:highlight w:val="none"/>
        </w:rPr>
        <w:t>_ (</w:t>
      </w:r>
      <w:r>
        <w:rPr>
          <w:rFonts w:hint="default" w:ascii="Times New Roman" w:hAnsi="Times New Roman" w:cs="Times New Roman"/>
          <w:i/>
          <w:iCs/>
          <w:sz w:val="24"/>
          <w:szCs w:val="24"/>
          <w:highlight w:val="none"/>
        </w:rPr>
        <w:t>specify Member State</w:t>
      </w:r>
      <w:r>
        <w:rPr>
          <w:rFonts w:hint="default" w:ascii="Times New Roman" w:hAnsi="Times New Roman" w:cs="Times New Roman"/>
          <w:sz w:val="24"/>
          <w:szCs w:val="24"/>
          <w:highlight w:val="none"/>
        </w:rPr>
        <w:t>).</w:t>
      </w:r>
    </w:p>
    <w:p w14:paraId="343FA815">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6BED6D6A">
      <w:pPr>
        <w:pStyle w:val="4"/>
        <w:keepNext w:val="0"/>
        <w:keepLines w:val="0"/>
        <w:pageBreakBefore w:val="0"/>
        <w:widowControl/>
        <w:suppressLineNumbers w:val="0"/>
        <w:tabs>
          <w:tab w:val="left" w:pos="21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(c)</w:t>
      </w:r>
      <w:r>
        <w:rPr>
          <w:rFonts w:hint="default" w:ascii="Times New Roman" w:hAnsi="Times New Roman" w:cs="Times New Roman"/>
          <w:sz w:val="24"/>
          <w:szCs w:val="24"/>
        </w:rPr>
        <w:tab/>
      </w:r>
      <w:r>
        <w:rPr>
          <w:rFonts w:hint="default" w:ascii="Times New Roman" w:hAnsi="Times New Roman" w:cs="Times New Roman"/>
          <w:sz w:val="24"/>
          <w:szCs w:val="24"/>
        </w:rPr>
        <w:t>A data subject may also bring legal proceedings against the data exporter and/or data importer before the courts of the Member State in which he/she has his/her habitual residence.</w:t>
      </w:r>
    </w:p>
    <w:p w14:paraId="293707C5">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3D896161">
      <w:pPr>
        <w:pStyle w:val="4"/>
        <w:keepNext w:val="0"/>
        <w:keepLines w:val="0"/>
        <w:pageBreakBefore w:val="0"/>
        <w:widowControl/>
        <w:suppressLineNumbers w:val="0"/>
        <w:tabs>
          <w:tab w:val="left" w:pos="30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w:t>
      </w:r>
      <w:r>
        <w:rPr>
          <w:rFonts w:hint="default" w:ascii="Times New Roman" w:hAnsi="Times New Roman" w:cs="Times New Roman"/>
          <w:sz w:val="24"/>
          <w:szCs w:val="24"/>
        </w:rPr>
        <w:tab/>
      </w:r>
      <w:r>
        <w:rPr>
          <w:rFonts w:hint="default" w:ascii="Times New Roman" w:hAnsi="Times New Roman" w:cs="Times New Roman"/>
          <w:sz w:val="24"/>
          <w:szCs w:val="24"/>
        </w:rPr>
        <w:t>The Parties agree to submit themselves to the jurisdiction of such courts.</w:t>
      </w:r>
    </w:p>
    <w:p w14:paraId="5FE39745">
      <w:pPr>
        <w:pStyle w:val="4"/>
        <w:keepNext w:val="0"/>
        <w:keepLines w:val="0"/>
        <w:pageBreakBefore w:val="0"/>
        <w:widowControl/>
        <w:suppressLineNumbers w:val="0"/>
        <w:tabs>
          <w:tab w:val="left" w:pos="307"/>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p>
    <w:p w14:paraId="78E40666">
      <w:pPr>
        <w:keepNext w:val="0"/>
        <w:keepLines w:val="0"/>
        <w:pageBreakBefore w:val="0"/>
        <w:widowControl/>
        <w:suppressLineNumbers w:val="0"/>
        <w:pBdr>
          <w:top w:val="single" w:color="DEE8EC" w:sz="4" w:space="0"/>
          <w:left w:val="none" w:color="DEE8EC" w:sz="0" w:space="0"/>
          <w:bottom w:val="none" w:color="DEE8EC" w:sz="0" w:space="0"/>
          <w:right w:val="none" w:color="DEE8EC" w:sz="0" w:space="0"/>
        </w:pBdr>
        <w:tabs>
          <w:tab w:val="left" w:pos="420"/>
        </w:tabs>
        <w:kinsoku/>
        <w:wordWrap/>
        <w:overflowPunct/>
        <w:topLinePunct w:val="0"/>
        <w:autoSpaceDE/>
        <w:autoSpaceDN/>
        <w:bidi w:val="0"/>
        <w:adjustRightInd/>
        <w:snapToGrid/>
        <w:spacing w:before="80" w:beforeAutospacing="0" w:after="80" w:afterAutospacing="0"/>
        <w:jc w:val="center"/>
        <w:textAlignment w:val="auto"/>
        <w:rPr>
          <w:rFonts w:hint="default" w:ascii="Times New Roman" w:hAnsi="Times New Roman" w:cs="Times New Roman"/>
          <w:color w:val="000000"/>
          <w:sz w:val="24"/>
          <w:szCs w:val="24"/>
        </w:rPr>
      </w:pPr>
      <w:r>
        <w:rPr>
          <w:rFonts w:hint="default" w:ascii="Times New Roman" w:hAnsi="Times New Roman" w:cs="Times New Roman"/>
          <w:sz w:val="24"/>
          <w:szCs w:val="24"/>
        </w:rPr>
        <w:pict>
          <v:rect id="_x0000_i1025" o:spt="1" style="height:1.5pt;width:68pt;" fillcolor="#000000" filled="t" stroked="f" coordsize="21600,21600" o:hr="t" o:hrstd="t" o:hrnoshade="t" o:hrpct="0" o:hralign="center">
            <v:path/>
            <v:fill on="t" focussize="0,0"/>
            <v:stroke on="f"/>
            <v:imagedata o:title=""/>
            <o:lock v:ext="edit"/>
            <w10:wrap type="none"/>
            <w10:anchorlock/>
          </v:rect>
        </w:pict>
      </w:r>
    </w:p>
    <w:p w14:paraId="019317E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center"/>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APPENDIX</w:t>
      </w:r>
    </w:p>
    <w:p w14:paraId="2BBF6DD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EXPLANATORY NOTE:</w:t>
      </w:r>
    </w:p>
    <w:p w14:paraId="6F806111">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It must be possible to clearly distinguish the information applicable to each transfer or category of transfers and, in this regard, to determine the respective role(s) of the Parties as data exporter(s) and/or data importer(s). This does not necessarily require completing and signing separate appendices for each transfer/category of transfers and/or contractual relationship, where this transparency can achieved through one appendix. However, where necessary to ensure sufficient clarity, separate appendices should be used.</w:t>
      </w:r>
    </w:p>
    <w:p w14:paraId="7C2D0846">
      <w:pPr>
        <w:keepNext w:val="0"/>
        <w:keepLines w:val="0"/>
        <w:pageBreakBefore w:val="0"/>
        <w:widowControl/>
        <w:suppressLineNumbers w:val="0"/>
        <w:pBdr>
          <w:top w:val="single" w:color="DEE8EC" w:sz="4" w:space="0"/>
          <w:left w:val="none" w:color="DEE8EC" w:sz="0" w:space="0"/>
          <w:bottom w:val="none" w:color="DEE8EC" w:sz="0" w:space="0"/>
          <w:right w:val="none" w:color="DEE8EC" w:sz="0" w:space="0"/>
        </w:pBdr>
        <w:tabs>
          <w:tab w:val="left" w:pos="420"/>
        </w:tabs>
        <w:kinsoku/>
        <w:wordWrap/>
        <w:overflowPunct/>
        <w:topLinePunct w:val="0"/>
        <w:autoSpaceDE/>
        <w:autoSpaceDN/>
        <w:bidi w:val="0"/>
        <w:adjustRightInd/>
        <w:snapToGrid/>
        <w:spacing w:before="80" w:beforeAutospacing="0" w:after="80" w:afterAutospacing="0"/>
        <w:jc w:val="center"/>
        <w:textAlignment w:val="auto"/>
        <w:rPr>
          <w:rFonts w:hint="default" w:ascii="Times New Roman" w:hAnsi="Times New Roman" w:cs="Times New Roman"/>
          <w:color w:val="000000"/>
          <w:sz w:val="24"/>
          <w:szCs w:val="24"/>
        </w:rPr>
      </w:pPr>
      <w:r>
        <w:rPr>
          <w:rFonts w:hint="default" w:ascii="Times New Roman" w:hAnsi="Times New Roman" w:cs="Times New Roman"/>
          <w:sz w:val="24"/>
          <w:szCs w:val="24"/>
        </w:rPr>
        <w:pict>
          <v:rect id="_x0000_i1026" o:spt="1" style="height:1.5pt;width:68pt;" fillcolor="#000000" filled="t" stroked="f" coordsize="21600,21600" o:hr="t" o:hrstd="t" o:hrnoshade="t" o:hrpct="0" o:hralign="center">
            <v:path/>
            <v:fill on="t" focussize="0,0"/>
            <v:stroke on="f"/>
            <v:imagedata o:title=""/>
            <o:lock v:ext="edit"/>
            <w10:wrap type="none"/>
            <w10:anchorlock/>
          </v:rect>
        </w:pict>
      </w:r>
    </w:p>
    <w:p w14:paraId="539D7916">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center"/>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ANNEX I</w:t>
      </w:r>
    </w:p>
    <w:p w14:paraId="4D600482">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A.   LIST OF PARTIES</w:t>
      </w:r>
    </w:p>
    <w:p w14:paraId="0B9214DE">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b/>
          <w:bCs/>
          <w:i w:val="0"/>
          <w:iCs w:val="0"/>
          <w:caps w:val="0"/>
          <w:color w:val="000000"/>
          <w:spacing w:val="0"/>
          <w:sz w:val="24"/>
          <w:szCs w:val="24"/>
          <w:shd w:val="clear" w:fill="FFFFFF"/>
        </w:rPr>
        <w:t>Data exporter(s):</w:t>
      </w:r>
      <w:r>
        <w:rPr>
          <w:rFonts w:hint="default" w:ascii="Times New Roman" w:hAnsi="Times New Roman" w:cs="Times New Roman"/>
          <w:i w:val="0"/>
          <w:iCs w:val="0"/>
          <w:caps w:val="0"/>
          <w:color w:val="000000"/>
          <w:spacing w:val="0"/>
          <w:sz w:val="24"/>
          <w:szCs w:val="24"/>
          <w:shd w:val="clear" w:fill="FFFFFF"/>
        </w:rPr>
        <w:t> </w:t>
      </w:r>
      <w:r>
        <w:rPr>
          <w:rFonts w:hint="default" w:ascii="Times New Roman" w:hAnsi="Times New Roman" w:cs="Times New Roman"/>
          <w:i w:val="0"/>
          <w:iCs w:val="0"/>
          <w:caps w:val="0"/>
          <w:color w:val="000000"/>
          <w:spacing w:val="0"/>
          <w:sz w:val="24"/>
          <w:szCs w:val="24"/>
          <w:highlight w:val="none"/>
          <w:shd w:val="clear" w:fill="FFFFFF"/>
        </w:rPr>
        <w:t>[</w:t>
      </w:r>
      <w:r>
        <w:rPr>
          <w:rFonts w:hint="default" w:ascii="Times New Roman" w:hAnsi="Times New Roman" w:cs="Times New Roman"/>
          <w:i/>
          <w:iCs/>
          <w:caps w:val="0"/>
          <w:color w:val="000000"/>
          <w:spacing w:val="0"/>
          <w:sz w:val="24"/>
          <w:szCs w:val="24"/>
          <w:highlight w:val="none"/>
          <w:shd w:val="clear" w:fill="FFFFFF"/>
        </w:rPr>
        <w:t>Identity and contact details of the data exporter(s) and, where applicable, of its/their data protection officer and/or representative in the European Union]</w:t>
      </w:r>
    </w:p>
    <w:p w14:paraId="2BDDCAEF">
      <w:pPr>
        <w:keepNext w:val="0"/>
        <w:keepLines w:val="0"/>
        <w:pageBreakBefore w:val="0"/>
        <w:widowControl/>
        <w:suppressLineNumbers w:val="0"/>
        <w:tabs>
          <w:tab w:val="left" w:pos="9"/>
          <w:tab w:val="left" w:pos="243"/>
          <w:tab w:val="left" w:pos="420"/>
        </w:tabs>
        <w:kinsoku/>
        <w:wordWrap/>
        <w:overflowPunct/>
        <w:topLinePunct w:val="0"/>
        <w:autoSpaceDE/>
        <w:autoSpaceDN/>
        <w:bidi w:val="0"/>
        <w:adjustRightInd/>
        <w:snapToGrid/>
        <w:jc w:val="left"/>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ab/>
      </w:r>
      <w:r>
        <w:rPr>
          <w:rFonts w:hint="default" w:ascii="Times New Roman" w:hAnsi="Times New Roman" w:cs="Times New Roman"/>
          <w:color w:val="auto"/>
          <w:sz w:val="24"/>
          <w:szCs w:val="24"/>
        </w:rPr>
        <w:t>1.</w:t>
      </w:r>
      <w:r>
        <w:rPr>
          <w:rFonts w:hint="default" w:ascii="Times New Roman" w:hAnsi="Times New Roman" w:cs="Times New Roman"/>
          <w:color w:val="auto"/>
          <w:sz w:val="24"/>
          <w:szCs w:val="24"/>
        </w:rPr>
        <w:tab/>
      </w:r>
      <w:r>
        <w:rPr>
          <w:rFonts w:hint="eastAsia" w:ascii="Times New Roman" w:hAnsi="Times New Roman" w:cs="Times New Roman"/>
          <w:color w:val="auto"/>
          <w:sz w:val="24"/>
          <w:szCs w:val="24"/>
          <w:lang w:val="en-US" w:eastAsia="zh-CN"/>
        </w:rPr>
        <w:t xml:space="preserve">Name:Customer </w:t>
      </w:r>
    </w:p>
    <w:p w14:paraId="15BFACC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eastAsia" w:ascii="Times New Roman" w:hAnsi="Times New Roman" w:cs="Times New Roman" w:eastAsiaTheme="minorEastAsia"/>
          <w:sz w:val="24"/>
          <w:szCs w:val="24"/>
          <w:lang w:val="en-US" w:eastAsia="zh-CN"/>
        </w:rPr>
      </w:pPr>
      <w:r>
        <w:rPr>
          <w:rFonts w:hint="default" w:ascii="Times New Roman" w:hAnsi="Times New Roman" w:cs="Times New Roman"/>
          <w:sz w:val="24"/>
          <w:szCs w:val="24"/>
        </w:rPr>
        <w:t>Address:</w:t>
      </w:r>
      <w:r>
        <w:rPr>
          <w:rFonts w:hint="eastAsia" w:ascii="Times New Roman" w:hAnsi="Times New Roman" w:cs="Times New Roman"/>
          <w:sz w:val="24"/>
          <w:szCs w:val="24"/>
          <w:lang w:val="en-US" w:eastAsia="zh-CN"/>
        </w:rPr>
        <w:t xml:space="preserve"> As specified in the Agreement.</w:t>
      </w:r>
    </w:p>
    <w:p w14:paraId="73BBFEF0">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highlight w:val="none"/>
        </w:rPr>
        <w:t>Contact person’s name</w:t>
      </w:r>
      <w:r>
        <w:rPr>
          <w:rFonts w:hint="eastAsia" w:ascii="Times New Roman" w:hAnsi="Times New Roman" w:cs="Times New Roman"/>
          <w:sz w:val="24"/>
          <w:szCs w:val="24"/>
          <w:highlight w:val="none"/>
          <w:lang w:val="en-US" w:eastAsia="zh-CN"/>
        </w:rPr>
        <w:t xml:space="preserve">, </w:t>
      </w:r>
      <w:r>
        <w:rPr>
          <w:rFonts w:hint="default" w:ascii="Times New Roman" w:hAnsi="Times New Roman" w:cs="Times New Roman"/>
          <w:sz w:val="24"/>
          <w:szCs w:val="24"/>
          <w:highlight w:val="none"/>
        </w:rPr>
        <w:t>position</w:t>
      </w:r>
      <w:r>
        <w:rPr>
          <w:rFonts w:hint="eastAsia" w:ascii="Times New Roman" w:hAnsi="Times New Roman" w:cs="Times New Roman"/>
          <w:sz w:val="24"/>
          <w:szCs w:val="24"/>
          <w:highlight w:val="none"/>
          <w:lang w:val="en-US" w:eastAsia="zh-CN"/>
        </w:rPr>
        <w:t xml:space="preserve"> </w:t>
      </w:r>
      <w:r>
        <w:rPr>
          <w:rFonts w:hint="default" w:ascii="Times New Roman" w:hAnsi="Times New Roman" w:cs="Times New Roman"/>
          <w:sz w:val="24"/>
          <w:szCs w:val="24"/>
        </w:rPr>
        <w:t>and contact details:</w:t>
      </w:r>
      <w:r>
        <w:rPr>
          <w:rFonts w:hint="eastAsia" w:ascii="Times New Roman" w:hAnsi="Times New Roman" w:cs="Times New Roman"/>
          <w:sz w:val="24"/>
          <w:szCs w:val="24"/>
          <w:lang w:val="en-US" w:eastAsia="zh-CN"/>
        </w:rPr>
        <w:t xml:space="preserve"> The contact details of the data exporter are specified in the Agreement.</w:t>
      </w:r>
    </w:p>
    <w:p w14:paraId="7FD31558">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rPr>
        <w:t>Activities relevant to the data transferred under these Clauses:</w:t>
      </w:r>
      <w:r>
        <w:rPr>
          <w:rFonts w:hint="default" w:ascii="Times New Roman" w:hAnsi="Times New Roman" w:cs="Times New Roman"/>
          <w:sz w:val="24"/>
          <w:szCs w:val="24"/>
        </w:rPr>
        <w:t xml:space="preserve"> </w:t>
      </w:r>
      <w:r>
        <w:rPr>
          <w:rFonts w:hint="eastAsia" w:ascii="Times New Roman" w:hAnsi="Times New Roman" w:cs="Times New Roman"/>
          <w:sz w:val="24"/>
          <w:szCs w:val="24"/>
          <w:lang w:val="en-US" w:eastAsia="zh-CN"/>
        </w:rPr>
        <w:t>The data importer provides the Services to the data exporter in accordance with the Agreement.</w:t>
      </w:r>
    </w:p>
    <w:p w14:paraId="0C470AF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rPr>
        <w:t>Signature and date:</w:t>
      </w:r>
      <w:r>
        <w:rPr>
          <w:rFonts w:hint="eastAsia" w:ascii="Times New Roman" w:hAnsi="Times New Roman" w:cs="Times New Roman"/>
          <w:sz w:val="24"/>
          <w:szCs w:val="24"/>
          <w:lang w:val="en-US" w:eastAsia="zh-CN"/>
        </w:rPr>
        <w:t>The parties agree that the execution of the Agreement by the data importer and the data exporter will constitute the execution of these Clauses by both parties as of the Effective Date.</w:t>
      </w:r>
    </w:p>
    <w:p w14:paraId="6FE3DA20">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Role (controller/processor):</w:t>
      </w:r>
      <w:r>
        <w:rPr>
          <w:rFonts w:hint="default" w:ascii="Times New Roman" w:hAnsi="Times New Roman" w:cs="Times New Roman"/>
          <w:sz w:val="24"/>
          <w:szCs w:val="24"/>
        </w:rPr>
        <w:t>C</w:t>
      </w:r>
      <w:r>
        <w:rPr>
          <w:rFonts w:hint="default" w:ascii="Times New Roman" w:hAnsi="Times New Roman" w:cs="Times New Roman"/>
          <w:sz w:val="24"/>
          <w:szCs w:val="24"/>
        </w:rPr>
        <w:t>ontroller</w:t>
      </w:r>
    </w:p>
    <w:p w14:paraId="44646C8B">
      <w:pPr>
        <w:keepNext w:val="0"/>
        <w:keepLines w:val="0"/>
        <w:pageBreakBefore w:val="0"/>
        <w:widowControl/>
        <w:numPr>
          <w:ilvl w:val="0"/>
          <w:numId w:val="0"/>
        </w:numPr>
        <w:suppressLineNumbers w:val="0"/>
        <w:tabs>
          <w:tab w:val="left" w:pos="239"/>
          <w:tab w:val="left" w:pos="420"/>
          <w:tab w:val="left" w:pos="3773"/>
        </w:tabs>
        <w:kinsoku/>
        <w:wordWrap/>
        <w:overflowPunct/>
        <w:topLinePunct w:val="0"/>
        <w:autoSpaceDE/>
        <w:autoSpaceDN/>
        <w:bidi w:val="0"/>
        <w:adjustRightInd/>
        <w:snapToGrid/>
        <w:jc w:val="left"/>
        <w:textAlignment w:val="auto"/>
        <w:rPr>
          <w:rFonts w:hint="default" w:ascii="Times New Roman" w:hAnsi="Times New Roman" w:cs="Times New Roman"/>
          <w:sz w:val="24"/>
          <w:szCs w:val="24"/>
          <w:lang w:val="en-US" w:eastAsia="zh-CN"/>
        </w:rPr>
      </w:pPr>
    </w:p>
    <w:p w14:paraId="12425DB0">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b/>
          <w:bCs/>
          <w:i w:val="0"/>
          <w:iCs w:val="0"/>
          <w:caps w:val="0"/>
          <w:color w:val="000000"/>
          <w:spacing w:val="0"/>
          <w:sz w:val="24"/>
          <w:szCs w:val="24"/>
          <w:shd w:val="clear" w:fill="FFFFFF"/>
        </w:rPr>
        <w:t>Data importer(s):</w:t>
      </w:r>
      <w:r>
        <w:rPr>
          <w:rFonts w:hint="default" w:ascii="Times New Roman" w:hAnsi="Times New Roman" w:cs="Times New Roman"/>
          <w:i w:val="0"/>
          <w:iCs w:val="0"/>
          <w:caps w:val="0"/>
          <w:color w:val="000000"/>
          <w:spacing w:val="0"/>
          <w:sz w:val="24"/>
          <w:szCs w:val="24"/>
          <w:shd w:val="clear" w:fill="FFFFFF"/>
        </w:rPr>
        <w:t> [</w:t>
      </w:r>
      <w:r>
        <w:rPr>
          <w:rFonts w:hint="default" w:ascii="Times New Roman" w:hAnsi="Times New Roman" w:cs="Times New Roman"/>
          <w:i/>
          <w:iCs/>
          <w:caps w:val="0"/>
          <w:color w:val="000000"/>
          <w:spacing w:val="0"/>
          <w:sz w:val="24"/>
          <w:szCs w:val="24"/>
          <w:shd w:val="clear" w:fill="FFFFFF"/>
        </w:rPr>
        <w:t>Identity and contact details of the data importer(s), including any contact person with responsibility for data protection]</w:t>
      </w:r>
    </w:p>
    <w:p w14:paraId="0B67A1E3">
      <w:pPr>
        <w:keepNext w:val="0"/>
        <w:keepLines w:val="0"/>
        <w:pageBreakBefore w:val="0"/>
        <w:widowControl/>
        <w:numPr>
          <w:ilvl w:val="0"/>
          <w:numId w:val="1"/>
        </w:numPr>
        <w:suppressLineNumbers w:val="0"/>
        <w:tabs>
          <w:tab w:val="left" w:pos="9"/>
          <w:tab w:val="left" w:pos="243"/>
          <w:tab w:val="left" w:pos="420"/>
        </w:tabs>
        <w:kinsoku/>
        <w:wordWrap/>
        <w:overflowPunct/>
        <w:topLinePunct w:val="0"/>
        <w:autoSpaceDE/>
        <w:autoSpaceDN/>
        <w:bidi w:val="0"/>
        <w:adjustRightInd/>
        <w:snapToGrid/>
        <w:ind w:left="9" w:leftChars="0" w:firstLine="0" w:firstLineChars="0"/>
        <w:jc w:val="left"/>
        <w:textAlignment w:val="auto"/>
        <w:rPr>
          <w:rFonts w:hint="default" w:ascii="Times New Roman" w:hAnsi="Times New Roman" w:cs="Times New Roman"/>
          <w:sz w:val="24"/>
          <w:szCs w:val="24"/>
          <w:lang w:val="en-US"/>
        </w:rPr>
      </w:pPr>
      <w:r>
        <w:rPr>
          <w:rFonts w:hint="default" w:ascii="Times New Roman" w:hAnsi="Times New Roman" w:eastAsia="宋体" w:cs="Times New Roman"/>
          <w:kern w:val="0"/>
          <w:sz w:val="24"/>
          <w:szCs w:val="24"/>
          <w:lang w:val="en-US" w:eastAsia="zh-CN" w:bidi="ar"/>
        </w:rPr>
        <w:t>Shanghai Huace Navigation Technology Ltd.</w:t>
      </w:r>
      <w:r>
        <w:rPr>
          <w:rFonts w:hint="eastAsia" w:ascii="Times New Roman" w:hAnsi="Times New Roman" w:eastAsia="宋体" w:cs="Times New Roman"/>
          <w:kern w:val="0"/>
          <w:sz w:val="24"/>
          <w:szCs w:val="24"/>
          <w:lang w:val="en-US" w:eastAsia="zh-CN" w:bidi="ar"/>
        </w:rPr>
        <w:t xml:space="preserve"> (CHCNAV)</w:t>
      </w:r>
    </w:p>
    <w:p w14:paraId="4B977B93">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Addr</w:t>
      </w:r>
      <w:r>
        <w:rPr>
          <w:rFonts w:hint="default" w:ascii="Times New Roman" w:hAnsi="Times New Roman" w:eastAsia="宋体" w:cs="Times New Roman"/>
          <w:kern w:val="0"/>
          <w:sz w:val="24"/>
          <w:szCs w:val="24"/>
          <w:lang w:val="en-US" w:eastAsia="zh-CN" w:bidi="ar"/>
        </w:rPr>
        <w:t>ess: 577 Songying Road</w:t>
      </w:r>
      <w:r>
        <w:rPr>
          <w:rFonts w:hint="eastAsia" w:ascii="Times New Roman" w:hAnsi="Times New Roman" w:eastAsia="宋体" w:cs="Times New Roman"/>
          <w:kern w:val="0"/>
          <w:sz w:val="24"/>
          <w:szCs w:val="24"/>
          <w:lang w:val="en-US" w:eastAsia="zh-CN" w:bidi="ar"/>
        </w:rPr>
        <w:t xml:space="preserve">, </w:t>
      </w:r>
      <w:r>
        <w:rPr>
          <w:rFonts w:hint="default" w:ascii="Times New Roman" w:hAnsi="Times New Roman" w:eastAsia="宋体" w:cs="Times New Roman"/>
          <w:kern w:val="0"/>
          <w:sz w:val="24"/>
          <w:szCs w:val="24"/>
          <w:lang w:val="en-US" w:eastAsia="zh-CN" w:bidi="ar"/>
        </w:rPr>
        <w:t>Qingpu, Shanghai, China</w:t>
      </w:r>
    </w:p>
    <w:p w14:paraId="4A3F8A1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eastAsia" w:ascii="Times New Roman" w:hAnsi="Times New Roman" w:cs="Times New Roman"/>
          <w:sz w:val="24"/>
          <w:szCs w:val="24"/>
          <w:lang w:val="en-US" w:eastAsia="zh-CN"/>
        </w:rPr>
      </w:pPr>
      <w:r>
        <w:rPr>
          <w:rFonts w:hint="default" w:ascii="Times New Roman" w:hAnsi="Times New Roman" w:cs="Times New Roman"/>
          <w:sz w:val="24"/>
          <w:szCs w:val="24"/>
          <w:highlight w:val="none"/>
        </w:rPr>
        <w:t>Contact person’s name, position and contact details</w:t>
      </w:r>
      <w:r>
        <w:rPr>
          <w:rFonts w:hint="default" w:ascii="Times New Roman" w:hAnsi="Times New Roman" w:cs="Times New Roman"/>
          <w:sz w:val="24"/>
          <w:szCs w:val="24"/>
        </w:rPr>
        <w:t xml:space="preserve">: </w:t>
      </w:r>
      <w:r>
        <w:rPr>
          <w:rFonts w:hint="eastAsia" w:ascii="Times New Roman" w:hAnsi="Times New Roman" w:cs="Times New Roman"/>
          <w:sz w:val="24"/>
          <w:szCs w:val="24"/>
          <w:lang w:val="en-US" w:eastAsia="zh-CN"/>
        </w:rPr>
        <w:t xml:space="preserve">Data Compliace Team, datacompliance@huace.cn. </w:t>
      </w:r>
    </w:p>
    <w:p w14:paraId="480D1611">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rPr>
        <w:t>Activities relevant to the data transferred under these Clauses:</w:t>
      </w:r>
      <w:r>
        <w:rPr>
          <w:rFonts w:hint="eastAsia" w:ascii="Times New Roman" w:hAnsi="Times New Roman" w:cs="Times New Roman"/>
          <w:sz w:val="24"/>
          <w:szCs w:val="24"/>
          <w:lang w:val="en-US" w:eastAsia="zh-CN"/>
        </w:rPr>
        <w:t xml:space="preserve"> The data importer provides the Services to the data exporter in accordance with the Agreement.</w:t>
      </w:r>
    </w:p>
    <w:p w14:paraId="4D8A879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Signature and date: </w:t>
      </w:r>
      <w:r>
        <w:rPr>
          <w:rFonts w:hint="eastAsia" w:ascii="Times New Roman" w:hAnsi="Times New Roman" w:cs="Times New Roman"/>
          <w:sz w:val="24"/>
          <w:szCs w:val="24"/>
          <w:lang w:val="en-US" w:eastAsia="zh-CN"/>
        </w:rPr>
        <w:t>The parties agree that the execution of the Agreement by the data importer and the data exporter will constitute the execution of these Clauses by both parties as of the Effective Date.</w:t>
      </w:r>
    </w:p>
    <w:p w14:paraId="2FAACCD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rPr>
        <w:t>Role (controller/processor):</w:t>
      </w:r>
      <w:r>
        <w:rPr>
          <w:rFonts w:hint="eastAsia" w:ascii="Times New Roman" w:hAnsi="Times New Roman" w:cs="Times New Roman"/>
          <w:sz w:val="24"/>
          <w:szCs w:val="24"/>
          <w:lang w:val="en-US" w:eastAsia="zh-CN"/>
        </w:rPr>
        <w:t>Processor</w:t>
      </w:r>
    </w:p>
    <w:p w14:paraId="5B3F6E1C">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1AB6EC4E">
      <w:pPr>
        <w:keepNext w:val="0"/>
        <w:keepLines w:val="0"/>
        <w:pageBreakBefore w:val="0"/>
        <w:widowControl/>
        <w:suppressLineNumbers w:val="0"/>
        <w:tabs>
          <w:tab w:val="left" w:pos="133"/>
          <w:tab w:val="left" w:pos="420"/>
          <w:tab w:val="left" w:pos="3667"/>
        </w:tabs>
        <w:kinsoku/>
        <w:wordWrap/>
        <w:overflowPunct/>
        <w:topLinePunct w:val="0"/>
        <w:autoSpaceDE/>
        <w:autoSpaceDN/>
        <w:bidi w:val="0"/>
        <w:adjustRightInd/>
        <w:snapToGrid/>
        <w:jc w:val="left"/>
        <w:textAlignment w:val="auto"/>
        <w:rPr>
          <w:rFonts w:hint="default" w:ascii="Times New Roman" w:hAnsi="Times New Roman" w:cs="Times New Roman"/>
          <w:sz w:val="24"/>
          <w:szCs w:val="24"/>
        </w:rPr>
      </w:pPr>
      <w:r>
        <w:rPr>
          <w:rFonts w:hint="default" w:ascii="Times New Roman" w:hAnsi="Times New Roman" w:cs="Times New Roman"/>
          <w:sz w:val="24"/>
          <w:szCs w:val="24"/>
        </w:rPr>
        <w:tab/>
      </w:r>
    </w:p>
    <w:p w14:paraId="2009D402">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B.   DESCRIPTION OF TRANSFER</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2692"/>
        <w:gridCol w:w="2989"/>
        <w:gridCol w:w="2841"/>
      </w:tblGrid>
      <w:tr w14:paraId="5781A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522" w:type="dxa"/>
            <w:gridSpan w:val="3"/>
          </w:tcPr>
          <w:p w14:paraId="3BF74672">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eastAsiaTheme="minorEastAsia"/>
                <w:i w:val="0"/>
                <w:iCs w:val="0"/>
                <w:caps w:val="0"/>
                <w:color w:val="000000"/>
                <w:spacing w:val="0"/>
                <w:sz w:val="24"/>
                <w:szCs w:val="24"/>
                <w:shd w:val="clear" w:fill="FFFFFF"/>
                <w:vertAlign w:val="baseline"/>
                <w:lang w:val="en-US" w:eastAsia="zh-CN"/>
              </w:rPr>
            </w:pPr>
            <w:r>
              <w:rPr>
                <w:rFonts w:hint="eastAsia" w:ascii="Times New Roman" w:hAnsi="Times New Roman" w:cs="Times New Roman"/>
                <w:i w:val="0"/>
                <w:iCs w:val="0"/>
                <w:caps w:val="0"/>
                <w:color w:val="000000"/>
                <w:spacing w:val="0"/>
                <w:sz w:val="24"/>
                <w:szCs w:val="24"/>
                <w:shd w:val="clear" w:fill="FFFFFF"/>
                <w:vertAlign w:val="baseline"/>
                <w:lang w:val="en-US" w:eastAsia="zh-CN"/>
              </w:rPr>
              <w:t>FOR PROCESSING OF USER DATA FOR CHCNAV</w:t>
            </w:r>
            <w:r>
              <w:rPr>
                <w:rFonts w:hint="default" w:ascii="Times New Roman" w:hAnsi="Times New Roman" w:cs="Times New Roman"/>
                <w:i w:val="0"/>
                <w:iCs w:val="0"/>
                <w:caps w:val="0"/>
                <w:color w:val="000000"/>
                <w:spacing w:val="0"/>
                <w:sz w:val="24"/>
                <w:szCs w:val="24"/>
                <w:shd w:val="clear" w:fill="FFFFFF"/>
                <w:vertAlign w:val="baseline"/>
                <w:lang w:val="en-US" w:eastAsia="zh-CN"/>
              </w:rPr>
              <w:t>’</w:t>
            </w:r>
            <w:r>
              <w:rPr>
                <w:rFonts w:hint="eastAsia" w:ascii="Times New Roman" w:hAnsi="Times New Roman" w:cs="Times New Roman"/>
                <w:i w:val="0"/>
                <w:iCs w:val="0"/>
                <w:caps w:val="0"/>
                <w:color w:val="000000"/>
                <w:spacing w:val="0"/>
                <w:sz w:val="24"/>
                <w:szCs w:val="24"/>
                <w:shd w:val="clear" w:fill="FFFFFF"/>
                <w:vertAlign w:val="baseline"/>
                <w:lang w:val="en-US" w:eastAsia="zh-CN"/>
              </w:rPr>
              <w:t>S PURPOSES</w:t>
            </w:r>
          </w:p>
        </w:tc>
      </w:tr>
      <w:tr w14:paraId="6702B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92" w:type="dxa"/>
          </w:tcPr>
          <w:p w14:paraId="6077528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eastAsiaTheme="minorEastAsia"/>
                <w:i w:val="0"/>
                <w:iCs w:val="0"/>
                <w:caps w:val="0"/>
                <w:color w:val="000000"/>
                <w:spacing w:val="0"/>
                <w:sz w:val="24"/>
                <w:szCs w:val="24"/>
                <w:shd w:val="clear" w:fill="FFFFFF"/>
                <w:vertAlign w:val="baseline"/>
                <w:lang w:val="en-US" w:eastAsia="zh-CN"/>
              </w:rPr>
            </w:pPr>
            <w:r>
              <w:rPr>
                <w:rFonts w:hint="eastAsia" w:ascii="Times New Roman" w:hAnsi="Times New Roman" w:cs="Times New Roman"/>
                <w:i w:val="0"/>
                <w:iCs w:val="0"/>
                <w:caps w:val="0"/>
                <w:color w:val="000000"/>
                <w:spacing w:val="0"/>
                <w:sz w:val="24"/>
                <w:szCs w:val="24"/>
                <w:shd w:val="clear" w:fill="FFFFFF"/>
                <w:vertAlign w:val="baseline"/>
                <w:lang w:val="en-US" w:eastAsia="zh-CN"/>
              </w:rPr>
              <w:t>Processing Purposes</w:t>
            </w:r>
          </w:p>
        </w:tc>
        <w:tc>
          <w:tcPr>
            <w:tcW w:w="2989" w:type="dxa"/>
          </w:tcPr>
          <w:p w14:paraId="59293CC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eastAsiaTheme="minorEastAsia"/>
                <w:i w:val="0"/>
                <w:iCs w:val="0"/>
                <w:caps w:val="0"/>
                <w:color w:val="000000"/>
                <w:spacing w:val="0"/>
                <w:sz w:val="24"/>
                <w:szCs w:val="24"/>
                <w:shd w:val="clear" w:fill="FFFFFF"/>
                <w:vertAlign w:val="baseline"/>
                <w:lang w:val="en-US" w:eastAsia="zh-CN"/>
              </w:rPr>
            </w:pPr>
            <w:r>
              <w:rPr>
                <w:rFonts w:hint="eastAsia" w:ascii="Times New Roman" w:hAnsi="Times New Roman" w:cs="Times New Roman"/>
                <w:i w:val="0"/>
                <w:iCs w:val="0"/>
                <w:caps w:val="0"/>
                <w:color w:val="000000"/>
                <w:spacing w:val="0"/>
                <w:sz w:val="24"/>
                <w:szCs w:val="24"/>
                <w:shd w:val="clear" w:fill="FFFFFF"/>
                <w:vertAlign w:val="baseline"/>
                <w:lang w:val="en-US" w:eastAsia="zh-CN"/>
              </w:rPr>
              <w:t>Categories of Personal Data involved</w:t>
            </w:r>
          </w:p>
        </w:tc>
        <w:tc>
          <w:tcPr>
            <w:tcW w:w="2841" w:type="dxa"/>
          </w:tcPr>
          <w:p w14:paraId="4519CEC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eastAsiaTheme="minorEastAsia"/>
                <w:i w:val="0"/>
                <w:iCs w:val="0"/>
                <w:caps w:val="0"/>
                <w:color w:val="000000"/>
                <w:spacing w:val="0"/>
                <w:sz w:val="24"/>
                <w:szCs w:val="24"/>
                <w:shd w:val="clear" w:fill="FFFFFF"/>
                <w:vertAlign w:val="baseline"/>
                <w:lang w:val="en-US" w:eastAsia="zh-CN"/>
              </w:rPr>
            </w:pPr>
            <w:r>
              <w:rPr>
                <w:rFonts w:hint="eastAsia" w:ascii="Times New Roman" w:hAnsi="Times New Roman" w:cs="Times New Roman"/>
                <w:i w:val="0"/>
                <w:iCs w:val="0"/>
                <w:caps w:val="0"/>
                <w:color w:val="000000"/>
                <w:spacing w:val="0"/>
                <w:sz w:val="24"/>
                <w:szCs w:val="24"/>
                <w:shd w:val="clear" w:fill="FFFFFF"/>
                <w:vertAlign w:val="baseline"/>
                <w:lang w:val="en-US" w:eastAsia="zh-CN"/>
              </w:rPr>
              <w:t>Legal Basis</w:t>
            </w:r>
          </w:p>
        </w:tc>
      </w:tr>
      <w:tr w14:paraId="3B098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92" w:type="dxa"/>
          </w:tcPr>
          <w:p w14:paraId="38E553D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Access Management,</w:t>
            </w:r>
          </w:p>
          <w:p w14:paraId="793DA2F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Rights, License and</w:t>
            </w:r>
          </w:p>
          <w:p w14:paraId="197C87AE">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entitlement Management</w:t>
            </w:r>
          </w:p>
          <w:p w14:paraId="55FE49B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related Purposes</w:t>
            </w:r>
          </w:p>
        </w:tc>
        <w:tc>
          <w:tcPr>
            <w:tcW w:w="2989" w:type="dxa"/>
          </w:tcPr>
          <w:p w14:paraId="143A2991">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eastAsia" w:ascii="Times New Roman" w:hAnsi="Times New Roman" w:cs="Times New Roman"/>
                <w:i w:val="0"/>
                <w:iCs w:val="0"/>
                <w:caps w:val="0"/>
                <w:color w:val="000000"/>
                <w:spacing w:val="0"/>
                <w:sz w:val="24"/>
                <w:szCs w:val="24"/>
                <w:shd w:val="clear" w:fill="FFFFFF"/>
                <w:vertAlign w:val="baseline"/>
                <w:lang w:val="en-US" w:eastAsia="zh-CN"/>
              </w:rPr>
              <w:t>Master Data</w:t>
            </w:r>
          </w:p>
          <w:p w14:paraId="3458605E">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Account</w:t>
            </w:r>
            <w:r>
              <w:rPr>
                <w:rFonts w:hint="eastAsia" w:ascii="Times New Roman" w:hAnsi="Times New Roman" w:cs="Times New Roman"/>
                <w:i w:val="0"/>
                <w:iCs w:val="0"/>
                <w:caps w:val="0"/>
                <w:color w:val="000000"/>
                <w:spacing w:val="0"/>
                <w:sz w:val="24"/>
                <w:szCs w:val="24"/>
                <w:shd w:val="clear" w:fill="FFFFFF"/>
                <w:vertAlign w:val="baseline"/>
                <w:lang w:val="en-US" w:eastAsia="zh-CN"/>
              </w:rPr>
              <w:t xml:space="preserve"> </w:t>
            </w:r>
            <w:r>
              <w:rPr>
                <w:rFonts w:hint="default" w:ascii="Times New Roman" w:hAnsi="Times New Roman" w:cs="Times New Roman"/>
                <w:i w:val="0"/>
                <w:iCs w:val="0"/>
                <w:caps w:val="0"/>
                <w:color w:val="000000"/>
                <w:spacing w:val="0"/>
                <w:sz w:val="24"/>
                <w:szCs w:val="24"/>
                <w:shd w:val="clear" w:fill="FFFFFF"/>
                <w:vertAlign w:val="baseline"/>
              </w:rPr>
              <w:t>Related Data</w:t>
            </w:r>
          </w:p>
          <w:p w14:paraId="29F067A8">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Organizational Details</w:t>
            </w:r>
          </w:p>
          <w:p w14:paraId="7E9923F0">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Use related data</w:t>
            </w:r>
          </w:p>
        </w:tc>
        <w:tc>
          <w:tcPr>
            <w:tcW w:w="2841" w:type="dxa"/>
          </w:tcPr>
          <w:p w14:paraId="65100F97">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 xml:space="preserve">Contract Justification; or </w:t>
            </w:r>
          </w:p>
          <w:p w14:paraId="63A612C0">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Justified Interest Justification.</w:t>
            </w:r>
          </w:p>
        </w:tc>
      </w:tr>
      <w:tr w14:paraId="44F44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92" w:type="dxa"/>
          </w:tcPr>
          <w:p w14:paraId="0A57E1FE">
            <w:pPr>
              <w:pStyle w:val="4"/>
              <w:keepNext w:val="0"/>
              <w:keepLines w:val="0"/>
              <w:pageBreakBefore w:val="0"/>
              <w:widowControl/>
              <w:numPr>
                <w:numId w:val="0"/>
              </w:numPr>
              <w:suppressLineNumbers w:val="0"/>
              <w:tabs>
                <w:tab w:val="left" w:pos="420"/>
              </w:tabs>
              <w:kinsoku/>
              <w:wordWrap/>
              <w:overflowPunct/>
              <w:topLinePunct w:val="0"/>
              <w:autoSpaceDE/>
              <w:autoSpaceDN/>
              <w:bidi w:val="0"/>
              <w:adjustRightInd/>
              <w:snapToGrid/>
              <w:spacing w:before="80" w:beforeAutospacing="0" w:after="0" w:afterAutospacing="0"/>
              <w:ind w:leftChars="0" w:right="0" w:right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Security and Fraud</w:t>
            </w:r>
          </w:p>
          <w:p w14:paraId="5284E951">
            <w:pPr>
              <w:pStyle w:val="4"/>
              <w:keepNext w:val="0"/>
              <w:keepLines w:val="0"/>
              <w:pageBreakBefore w:val="0"/>
              <w:widowControl/>
              <w:numPr>
                <w:numId w:val="0"/>
              </w:numPr>
              <w:suppressLineNumbers w:val="0"/>
              <w:tabs>
                <w:tab w:val="left" w:pos="420"/>
              </w:tabs>
              <w:kinsoku/>
              <w:wordWrap/>
              <w:overflowPunct/>
              <w:topLinePunct w:val="0"/>
              <w:autoSpaceDE/>
              <w:autoSpaceDN/>
              <w:bidi w:val="0"/>
              <w:adjustRightInd/>
              <w:snapToGrid/>
              <w:spacing w:before="80" w:beforeAutospacing="0" w:after="0" w:afterAutospacing="0"/>
              <w:ind w:leftChars="0" w:right="0" w:right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Prevention-related</w:t>
            </w:r>
          </w:p>
          <w:p w14:paraId="61D76067">
            <w:pPr>
              <w:pStyle w:val="4"/>
              <w:keepNext w:val="0"/>
              <w:keepLines w:val="0"/>
              <w:pageBreakBefore w:val="0"/>
              <w:widowControl/>
              <w:numPr>
                <w:numId w:val="0"/>
              </w:numPr>
              <w:suppressLineNumbers w:val="0"/>
              <w:tabs>
                <w:tab w:val="left" w:pos="420"/>
              </w:tabs>
              <w:kinsoku/>
              <w:wordWrap/>
              <w:overflowPunct/>
              <w:topLinePunct w:val="0"/>
              <w:autoSpaceDE/>
              <w:autoSpaceDN/>
              <w:bidi w:val="0"/>
              <w:adjustRightInd/>
              <w:snapToGrid/>
              <w:spacing w:before="80" w:beforeAutospacing="0" w:after="0" w:afterAutospacing="0"/>
              <w:ind w:leftChars="0" w:right="0" w:right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Purposes</w:t>
            </w:r>
          </w:p>
        </w:tc>
        <w:tc>
          <w:tcPr>
            <w:tcW w:w="2989" w:type="dxa"/>
          </w:tcPr>
          <w:p w14:paraId="6B95C3C0">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eastAsia" w:ascii="Times New Roman" w:hAnsi="Times New Roman" w:cs="Times New Roman"/>
                <w:i w:val="0"/>
                <w:iCs w:val="0"/>
                <w:caps w:val="0"/>
                <w:color w:val="000000"/>
                <w:spacing w:val="0"/>
                <w:sz w:val="24"/>
                <w:szCs w:val="24"/>
                <w:shd w:val="clear" w:fill="FFFFFF"/>
                <w:vertAlign w:val="baseline"/>
                <w:lang w:val="en-US" w:eastAsia="zh-CN"/>
              </w:rPr>
              <w:t>Master DATA</w:t>
            </w:r>
          </w:p>
          <w:p w14:paraId="0990F952">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Further Identification Data</w:t>
            </w:r>
          </w:p>
          <w:p w14:paraId="4A57CCD1">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Organizational Details</w:t>
            </w:r>
          </w:p>
          <w:p w14:paraId="5C0A7B62">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Product Use related Details</w:t>
            </w:r>
          </w:p>
          <w:p w14:paraId="47C3C48A">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Used sys</w:t>
            </w:r>
            <w:r>
              <w:rPr>
                <w:rFonts w:hint="eastAsia" w:ascii="Times New Roman" w:hAnsi="Times New Roman" w:cs="Times New Roman"/>
                <w:i w:val="0"/>
                <w:iCs w:val="0"/>
                <w:caps w:val="0"/>
                <w:color w:val="000000"/>
                <w:spacing w:val="0"/>
                <w:sz w:val="24"/>
                <w:szCs w:val="24"/>
                <w:shd w:val="clear" w:fill="FFFFFF"/>
                <w:vertAlign w:val="baseline"/>
                <w:lang w:val="en-US" w:eastAsia="zh-CN"/>
              </w:rPr>
              <w:t>tem related details</w:t>
            </w:r>
          </w:p>
        </w:tc>
        <w:tc>
          <w:tcPr>
            <w:tcW w:w="2841" w:type="dxa"/>
          </w:tcPr>
          <w:p w14:paraId="7851D9EC">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eastAsia" w:ascii="Times New Roman" w:hAnsi="Times New Roman" w:cs="Times New Roman"/>
                <w:i w:val="0"/>
                <w:iCs w:val="0"/>
                <w:caps w:val="0"/>
                <w:color w:val="000000"/>
                <w:spacing w:val="0"/>
                <w:sz w:val="24"/>
                <w:szCs w:val="24"/>
                <w:shd w:val="clear" w:fill="FFFFFF"/>
                <w:vertAlign w:val="baseline"/>
                <w:lang w:val="en-US" w:eastAsia="zh-CN"/>
              </w:rPr>
              <w:t>Legal Obligation Justification; or</w:t>
            </w:r>
          </w:p>
          <w:p w14:paraId="5AFD674C">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eastAsia" w:ascii="Times New Roman" w:hAnsi="Times New Roman" w:cs="Times New Roman"/>
                <w:i w:val="0"/>
                <w:iCs w:val="0"/>
                <w:caps w:val="0"/>
                <w:color w:val="000000"/>
                <w:spacing w:val="0"/>
                <w:sz w:val="24"/>
                <w:szCs w:val="24"/>
                <w:shd w:val="clear" w:fill="FFFFFF"/>
                <w:vertAlign w:val="baseline"/>
                <w:lang w:val="en-US" w:eastAsia="zh-CN"/>
              </w:rPr>
              <w:t>Justified Interest Justification.</w:t>
            </w:r>
          </w:p>
        </w:tc>
      </w:tr>
      <w:tr w14:paraId="21F1F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92" w:type="dxa"/>
          </w:tcPr>
          <w:p w14:paraId="5D338B1C">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Product and Services</w:t>
            </w:r>
          </w:p>
          <w:p w14:paraId="74FAFCA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Development Related</w:t>
            </w:r>
          </w:p>
          <w:p w14:paraId="0783696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right="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 xml:space="preserve">Purposes </w:t>
            </w:r>
          </w:p>
        </w:tc>
        <w:tc>
          <w:tcPr>
            <w:tcW w:w="2989" w:type="dxa"/>
          </w:tcPr>
          <w:p w14:paraId="26A9879E">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 xml:space="preserve">Master Data </w:t>
            </w:r>
          </w:p>
          <w:p w14:paraId="1CA3B012">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 xml:space="preserve">Further Identification Data </w:t>
            </w:r>
          </w:p>
          <w:p w14:paraId="04C8A471">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 xml:space="preserve">Computer Usage Data </w:t>
            </w:r>
          </w:p>
          <w:p w14:paraId="475F38A9">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 xml:space="preserve">Organizational details </w:t>
            </w:r>
          </w:p>
          <w:p w14:paraId="60186C9B">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default" w:ascii="Times New Roman" w:hAnsi="Times New Roman" w:cs="Times New Roman"/>
                <w:i w:val="0"/>
                <w:iCs w:val="0"/>
                <w:caps w:val="0"/>
                <w:color w:val="000000"/>
                <w:spacing w:val="0"/>
                <w:sz w:val="24"/>
                <w:szCs w:val="24"/>
                <w:shd w:val="clear" w:fill="FFFFFF"/>
                <w:vertAlign w:val="baseline"/>
              </w:rPr>
              <w:t>Project Related Details</w:t>
            </w:r>
          </w:p>
        </w:tc>
        <w:tc>
          <w:tcPr>
            <w:tcW w:w="2841" w:type="dxa"/>
          </w:tcPr>
          <w:p w14:paraId="57D83D90">
            <w:pPr>
              <w:pStyle w:val="4"/>
              <w:keepNext w:val="0"/>
              <w:keepLines w:val="0"/>
              <w:pageBreakBefore w:val="0"/>
              <w:widowControl/>
              <w:numPr>
                <w:ilvl w:val="0"/>
                <w:numId w:val="2"/>
              </w:numPr>
              <w:suppressLineNumbers w:val="0"/>
              <w:tabs>
                <w:tab w:val="left" w:pos="420"/>
              </w:tabs>
              <w:kinsoku/>
              <w:wordWrap/>
              <w:overflowPunct/>
              <w:topLinePunct w:val="0"/>
              <w:autoSpaceDE/>
              <w:autoSpaceDN/>
              <w:bidi w:val="0"/>
              <w:adjustRightInd/>
              <w:snapToGrid/>
              <w:spacing w:before="80" w:beforeAutospacing="0" w:after="0" w:afterAutospacing="0"/>
              <w:ind w:left="420" w:leftChars="0" w:right="0" w:hanging="420" w:firstLineChars="0"/>
              <w:jc w:val="both"/>
              <w:textAlignment w:val="auto"/>
              <w:rPr>
                <w:rFonts w:hint="default" w:ascii="Times New Roman" w:hAnsi="Times New Roman" w:cs="Times New Roman"/>
                <w:i w:val="0"/>
                <w:iCs w:val="0"/>
                <w:caps w:val="0"/>
                <w:color w:val="000000"/>
                <w:spacing w:val="0"/>
                <w:sz w:val="24"/>
                <w:szCs w:val="24"/>
                <w:shd w:val="clear" w:fill="FFFFFF"/>
                <w:vertAlign w:val="baseline"/>
              </w:rPr>
            </w:pPr>
            <w:r>
              <w:rPr>
                <w:rFonts w:hint="eastAsia" w:ascii="Times New Roman" w:hAnsi="Times New Roman" w:cs="Times New Roman"/>
                <w:i w:val="0"/>
                <w:iCs w:val="0"/>
                <w:caps w:val="0"/>
                <w:color w:val="000000"/>
                <w:spacing w:val="0"/>
                <w:sz w:val="24"/>
                <w:szCs w:val="24"/>
                <w:shd w:val="clear" w:fill="FFFFFF"/>
                <w:vertAlign w:val="baseline"/>
                <w:lang w:val="en-US" w:eastAsia="zh-CN"/>
              </w:rPr>
              <w:t>Contract Justification</w:t>
            </w:r>
          </w:p>
        </w:tc>
      </w:tr>
    </w:tbl>
    <w:p w14:paraId="3AC666A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p>
    <w:p w14:paraId="4E57B5C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r>
        <w:rPr>
          <w:rFonts w:hint="default" w:ascii="Times New Roman" w:hAnsi="Times New Roman" w:cs="Times New Roman"/>
          <w:i/>
          <w:iCs/>
          <w:caps w:val="0"/>
          <w:color w:val="000000"/>
          <w:spacing w:val="0"/>
          <w:sz w:val="24"/>
          <w:szCs w:val="24"/>
          <w:shd w:val="clear" w:fill="FFFFFF"/>
        </w:rPr>
        <w:t>Categories of data subjects whose personal data is transferred</w:t>
      </w:r>
    </w:p>
    <w:p w14:paraId="4BBCB89E">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val="0"/>
          <w:iCs w:val="0"/>
          <w:caps w:val="0"/>
          <w:color w:val="auto"/>
          <w:spacing w:val="0"/>
          <w:sz w:val="24"/>
          <w:szCs w:val="24"/>
          <w:shd w:val="clear" w:fill="FFFFFF"/>
          <w:lang w:val="en-US" w:eastAsia="zh-CN"/>
        </w:rPr>
      </w:pPr>
      <w:r>
        <w:rPr>
          <w:rFonts w:hint="eastAsia" w:ascii="Times New Roman" w:hAnsi="Times New Roman" w:cs="Times New Roman"/>
          <w:i w:val="0"/>
          <w:iCs w:val="0"/>
          <w:caps w:val="0"/>
          <w:color w:val="auto"/>
          <w:spacing w:val="0"/>
          <w:sz w:val="24"/>
          <w:szCs w:val="24"/>
          <w:shd w:val="clear" w:fill="FFFFFF"/>
          <w:lang w:val="en-US" w:eastAsia="zh-CN"/>
        </w:rPr>
        <w:t>Please see table above.</w:t>
      </w:r>
    </w:p>
    <w:p w14:paraId="244B32A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auto"/>
          <w:spacing w:val="0"/>
          <w:sz w:val="24"/>
          <w:szCs w:val="24"/>
          <w:shd w:val="clear" w:fill="FFFFFF"/>
        </w:rPr>
      </w:pPr>
    </w:p>
    <w:p w14:paraId="0F426DA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color w:val="auto"/>
          <w:sz w:val="24"/>
          <w:szCs w:val="24"/>
        </w:rPr>
      </w:pPr>
      <w:r>
        <w:rPr>
          <w:rFonts w:hint="default" w:ascii="Times New Roman" w:hAnsi="Times New Roman" w:cs="Times New Roman"/>
          <w:i/>
          <w:iCs/>
          <w:caps w:val="0"/>
          <w:color w:val="auto"/>
          <w:spacing w:val="0"/>
          <w:sz w:val="24"/>
          <w:szCs w:val="24"/>
          <w:shd w:val="clear" w:fill="FFFFFF"/>
        </w:rPr>
        <w:t>Categories of personal data transferred</w:t>
      </w:r>
    </w:p>
    <w:p w14:paraId="1CF1D54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eastAsia" w:ascii="Times New Roman" w:hAnsi="Times New Roman" w:cs="Times New Roman"/>
          <w:i w:val="0"/>
          <w:iCs w:val="0"/>
          <w:caps w:val="0"/>
          <w:color w:val="auto"/>
          <w:spacing w:val="0"/>
          <w:sz w:val="24"/>
          <w:szCs w:val="24"/>
          <w:shd w:val="clear" w:fill="FFFFFF"/>
          <w:lang w:val="en-US" w:eastAsia="zh-CN"/>
        </w:rPr>
      </w:pPr>
      <w:r>
        <w:rPr>
          <w:rFonts w:hint="eastAsia" w:ascii="Times New Roman" w:hAnsi="Times New Roman" w:cs="Times New Roman"/>
          <w:i w:val="0"/>
          <w:iCs w:val="0"/>
          <w:caps w:val="0"/>
          <w:color w:val="auto"/>
          <w:spacing w:val="0"/>
          <w:sz w:val="24"/>
          <w:szCs w:val="24"/>
          <w:shd w:val="clear" w:fill="FFFFFF"/>
          <w:lang w:val="en-US" w:eastAsia="zh-CN"/>
        </w:rPr>
        <w:t>Please see the table above.</w:t>
      </w:r>
    </w:p>
    <w:p w14:paraId="519C4D0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p>
    <w:p w14:paraId="3D5C4A8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iCs/>
          <w:caps w:val="0"/>
          <w:color w:val="000000"/>
          <w:spacing w:val="0"/>
          <w:sz w:val="24"/>
          <w:szCs w:val="24"/>
          <w:shd w:val="clear" w:fill="FFFFFF"/>
        </w:rPr>
        <w:t>Sensitive data transferred (if applicable) and applied restrictions or safeguards that fully take into consideration the nature of the data and the risks involved, such as for instance strict purpose limitation, access restrictions (including access only for staff having followed specialised training), keeping a record of access to the data, restrictions for onward transfers or additional security measures.</w:t>
      </w:r>
    </w:p>
    <w:p w14:paraId="3C682BD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eastAsia" w:ascii="Times New Roman" w:hAnsi="Times New Roman" w:cs="Times New Roman"/>
          <w:sz w:val="24"/>
          <w:szCs w:val="24"/>
          <w:lang w:val="en-US" w:eastAsia="zh-CN"/>
        </w:rPr>
      </w:pPr>
      <w:r>
        <w:rPr>
          <w:rFonts w:hint="eastAsia" w:ascii="Times New Roman" w:hAnsi="Times New Roman" w:cs="Times New Roman"/>
          <w:sz w:val="24"/>
          <w:szCs w:val="24"/>
          <w:lang w:val="en-US" w:eastAsia="zh-CN"/>
        </w:rPr>
        <w:t>N/A</w:t>
      </w:r>
    </w:p>
    <w:p w14:paraId="6E84BE7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p>
    <w:p w14:paraId="47722D7C">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iCs/>
          <w:caps w:val="0"/>
          <w:color w:val="000000"/>
          <w:spacing w:val="0"/>
          <w:sz w:val="24"/>
          <w:szCs w:val="24"/>
          <w:shd w:val="clear" w:fill="FFFFFF"/>
        </w:rPr>
        <w:t>The frequency of the transfer (e.g. whether the data is transferred on a one-off or continuous basis).</w:t>
      </w:r>
    </w:p>
    <w:p w14:paraId="5F57BB22">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eastAsia" w:ascii="Times New Roman" w:hAnsi="Times New Roman" w:cs="Times New Roman" w:eastAsiaTheme="minorEastAsia"/>
          <w:i w:val="0"/>
          <w:iCs w:val="0"/>
          <w:caps w:val="0"/>
          <w:color w:val="000000"/>
          <w:spacing w:val="0"/>
          <w:sz w:val="24"/>
          <w:szCs w:val="24"/>
          <w:shd w:val="clear" w:fill="FFFFFF"/>
          <w:lang w:val="en-US" w:eastAsia="zh-CN"/>
        </w:rPr>
      </w:pPr>
      <w:r>
        <w:rPr>
          <w:rFonts w:hint="default" w:ascii="Times New Roman" w:hAnsi="Times New Roman" w:cs="Times New Roman"/>
          <w:i w:val="0"/>
          <w:iCs w:val="0"/>
          <w:caps w:val="0"/>
          <w:color w:val="000000"/>
          <w:spacing w:val="0"/>
          <w:sz w:val="24"/>
          <w:szCs w:val="24"/>
          <w:shd w:val="clear" w:fill="FFFFFF"/>
        </w:rPr>
        <w:t>Continuous basis, as long as the Exporter uses the services of the importer. On a customer level, depending on the</w:t>
      </w:r>
      <w:r>
        <w:rPr>
          <w:rFonts w:hint="eastAsia" w:ascii="Times New Roman" w:hAnsi="Times New Roman" w:cs="Times New Roman"/>
          <w:i w:val="0"/>
          <w:iCs w:val="0"/>
          <w:caps w:val="0"/>
          <w:color w:val="000000"/>
          <w:spacing w:val="0"/>
          <w:sz w:val="24"/>
          <w:szCs w:val="24"/>
          <w:shd w:val="clear" w:fill="FFFFFF"/>
          <w:lang w:val="en-US" w:eastAsia="zh-CN"/>
        </w:rPr>
        <w:t xml:space="preserve"> </w:t>
      </w:r>
      <w:r>
        <w:rPr>
          <w:rFonts w:hint="default" w:ascii="Times New Roman" w:hAnsi="Times New Roman" w:cs="Times New Roman"/>
          <w:i w:val="0"/>
          <w:iCs w:val="0"/>
          <w:caps w:val="0"/>
          <w:color w:val="000000"/>
          <w:spacing w:val="0"/>
          <w:sz w:val="24"/>
          <w:szCs w:val="24"/>
          <w:shd w:val="clear" w:fill="FFFFFF"/>
        </w:rPr>
        <w:t>duration of the use of the Services by Customer</w:t>
      </w:r>
      <w:r>
        <w:rPr>
          <w:rFonts w:hint="eastAsia" w:ascii="Times New Roman" w:hAnsi="Times New Roman" w:cs="Times New Roman"/>
          <w:i w:val="0"/>
          <w:iCs w:val="0"/>
          <w:caps w:val="0"/>
          <w:color w:val="000000"/>
          <w:spacing w:val="0"/>
          <w:sz w:val="24"/>
          <w:szCs w:val="24"/>
          <w:shd w:val="clear" w:fill="FFFFFF"/>
          <w:lang w:val="en-US" w:eastAsia="zh-CN"/>
        </w:rPr>
        <w:t>.</w:t>
      </w:r>
    </w:p>
    <w:p w14:paraId="2A42CE2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p>
    <w:p w14:paraId="218E2AC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iCs/>
          <w:caps w:val="0"/>
          <w:color w:val="000000"/>
          <w:spacing w:val="0"/>
          <w:sz w:val="24"/>
          <w:szCs w:val="24"/>
          <w:shd w:val="clear" w:fill="FFFFFF"/>
        </w:rPr>
        <w:t>Nature of the processing</w:t>
      </w:r>
    </w:p>
    <w:p w14:paraId="646ABE02">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eastAsia" w:ascii="Times New Roman" w:hAnsi="Times New Roman" w:cs="Times New Roman"/>
          <w:i w:val="0"/>
          <w:iCs w:val="0"/>
          <w:caps w:val="0"/>
          <w:color w:val="auto"/>
          <w:spacing w:val="0"/>
          <w:sz w:val="24"/>
          <w:szCs w:val="24"/>
          <w:shd w:val="clear" w:fill="FFFFFF"/>
          <w:lang w:val="en-US" w:eastAsia="zh-CN"/>
        </w:rPr>
      </w:pPr>
      <w:r>
        <w:rPr>
          <w:rFonts w:hint="eastAsia" w:ascii="Times New Roman" w:hAnsi="Times New Roman" w:cs="Times New Roman"/>
          <w:i w:val="0"/>
          <w:iCs w:val="0"/>
          <w:caps w:val="0"/>
          <w:color w:val="auto"/>
          <w:spacing w:val="0"/>
          <w:sz w:val="24"/>
          <w:szCs w:val="24"/>
          <w:shd w:val="clear" w:fill="FFFFFF"/>
          <w:lang w:val="en-US" w:eastAsia="zh-CN"/>
        </w:rPr>
        <w:t>Please see the table above.</w:t>
      </w:r>
    </w:p>
    <w:p w14:paraId="76C8D033">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eastAsia" w:ascii="Times New Roman" w:hAnsi="Times New Roman" w:cs="Times New Roman"/>
          <w:i w:val="0"/>
          <w:iCs w:val="0"/>
          <w:caps w:val="0"/>
          <w:color w:val="auto"/>
          <w:spacing w:val="0"/>
          <w:sz w:val="24"/>
          <w:szCs w:val="24"/>
          <w:shd w:val="clear" w:fill="FFFFFF"/>
          <w:lang w:val="en-US" w:eastAsia="zh-CN"/>
        </w:rPr>
      </w:pPr>
    </w:p>
    <w:p w14:paraId="315D5C4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iCs/>
          <w:caps w:val="0"/>
          <w:color w:val="auto"/>
          <w:spacing w:val="0"/>
          <w:sz w:val="24"/>
          <w:szCs w:val="24"/>
          <w:shd w:val="clear" w:fill="FFFFFF"/>
        </w:rPr>
        <w:t>Purpose(s) of the data transfer</w:t>
      </w:r>
      <w:r>
        <w:rPr>
          <w:rFonts w:hint="default" w:ascii="Times New Roman" w:hAnsi="Times New Roman" w:cs="Times New Roman"/>
          <w:i/>
          <w:iCs/>
          <w:caps w:val="0"/>
          <w:color w:val="000000"/>
          <w:spacing w:val="0"/>
          <w:sz w:val="24"/>
          <w:szCs w:val="24"/>
          <w:shd w:val="clear" w:fill="FFFFFF"/>
        </w:rPr>
        <w:t xml:space="preserve"> and further processing</w:t>
      </w:r>
    </w:p>
    <w:p w14:paraId="6736A73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eastAsia" w:ascii="Times New Roman" w:hAnsi="Times New Roman" w:cs="Times New Roman" w:eastAsiaTheme="minorEastAsia"/>
          <w:i w:val="0"/>
          <w:iCs w:val="0"/>
          <w:caps w:val="0"/>
          <w:color w:val="000000"/>
          <w:spacing w:val="0"/>
          <w:sz w:val="24"/>
          <w:szCs w:val="24"/>
          <w:shd w:val="clear" w:fill="FFFFFF"/>
          <w:lang w:val="en-US" w:eastAsia="zh-CN"/>
        </w:rPr>
      </w:pPr>
      <w:r>
        <w:rPr>
          <w:rFonts w:hint="default" w:ascii="Times New Roman" w:hAnsi="Times New Roman" w:cs="Times New Roman"/>
          <w:i w:val="0"/>
          <w:iCs w:val="0"/>
          <w:caps w:val="0"/>
          <w:color w:val="000000"/>
          <w:spacing w:val="0"/>
          <w:sz w:val="24"/>
          <w:szCs w:val="24"/>
          <w:shd w:val="clear" w:fill="FFFFFF"/>
        </w:rPr>
        <w:t>Exporter acts as controller for the following data: User login and contact details,</w:t>
      </w:r>
      <w:r>
        <w:rPr>
          <w:rFonts w:hint="eastAsia" w:ascii="Times New Roman" w:hAnsi="Times New Roman" w:cs="Times New Roman"/>
          <w:i w:val="0"/>
          <w:iCs w:val="0"/>
          <w:caps w:val="0"/>
          <w:color w:val="000000"/>
          <w:spacing w:val="0"/>
          <w:sz w:val="24"/>
          <w:szCs w:val="24"/>
          <w:shd w:val="clear" w:fill="FFFFFF"/>
          <w:lang w:val="en-US" w:eastAsia="zh-CN"/>
        </w:rPr>
        <w:t xml:space="preserve"> </w:t>
      </w:r>
      <w:r>
        <w:rPr>
          <w:rFonts w:hint="default" w:ascii="Times New Roman" w:hAnsi="Times New Roman" w:cs="Times New Roman"/>
          <w:i w:val="0"/>
          <w:iCs w:val="0"/>
          <w:caps w:val="0"/>
          <w:color w:val="000000"/>
          <w:spacing w:val="0"/>
          <w:sz w:val="24"/>
          <w:szCs w:val="24"/>
          <w:shd w:val="clear" w:fill="FFFFFF"/>
        </w:rPr>
        <w:t>software usage data and data generated by security measures. The other data inputted by end users employed</w:t>
      </w:r>
      <w:r>
        <w:rPr>
          <w:rFonts w:hint="eastAsia" w:ascii="Times New Roman" w:hAnsi="Times New Roman" w:cs="Times New Roman"/>
          <w:i w:val="0"/>
          <w:iCs w:val="0"/>
          <w:caps w:val="0"/>
          <w:color w:val="000000"/>
          <w:spacing w:val="0"/>
          <w:sz w:val="24"/>
          <w:szCs w:val="24"/>
          <w:shd w:val="clear" w:fill="FFFFFF"/>
          <w:lang w:val="en-US" w:eastAsia="zh-CN"/>
        </w:rPr>
        <w:t xml:space="preserve"> </w:t>
      </w:r>
      <w:r>
        <w:rPr>
          <w:rFonts w:hint="default" w:ascii="Times New Roman" w:hAnsi="Times New Roman" w:cs="Times New Roman"/>
          <w:i w:val="0"/>
          <w:iCs w:val="0"/>
          <w:caps w:val="0"/>
          <w:color w:val="000000"/>
          <w:spacing w:val="0"/>
          <w:sz w:val="24"/>
          <w:szCs w:val="24"/>
          <w:shd w:val="clear" w:fill="FFFFFF"/>
        </w:rPr>
        <w:t>and contracted by customers of</w:t>
      </w:r>
      <w:r>
        <w:rPr>
          <w:rFonts w:hint="eastAsia" w:ascii="Times New Roman" w:hAnsi="Times New Roman" w:cs="Times New Roman"/>
          <w:i w:val="0"/>
          <w:iCs w:val="0"/>
          <w:caps w:val="0"/>
          <w:color w:val="000000"/>
          <w:spacing w:val="0"/>
          <w:sz w:val="24"/>
          <w:szCs w:val="24"/>
          <w:shd w:val="clear" w:fill="FFFFFF"/>
          <w:lang w:val="en-US" w:eastAsia="zh-CN"/>
        </w:rPr>
        <w:t xml:space="preserve"> CHCNAV</w:t>
      </w:r>
      <w:r>
        <w:rPr>
          <w:rFonts w:hint="default" w:ascii="Times New Roman" w:hAnsi="Times New Roman" w:cs="Times New Roman"/>
          <w:i w:val="0"/>
          <w:iCs w:val="0"/>
          <w:caps w:val="0"/>
          <w:color w:val="000000"/>
          <w:spacing w:val="0"/>
          <w:sz w:val="24"/>
          <w:szCs w:val="24"/>
          <w:shd w:val="clear" w:fill="FFFFFF"/>
        </w:rPr>
        <w:t>, or generated by their use, does not fall under this Transfer Agreement</w:t>
      </w:r>
      <w:r>
        <w:rPr>
          <w:rFonts w:hint="eastAsia" w:ascii="Times New Roman" w:hAnsi="Times New Roman" w:cs="Times New Roman"/>
          <w:i w:val="0"/>
          <w:iCs w:val="0"/>
          <w:caps w:val="0"/>
          <w:color w:val="000000"/>
          <w:spacing w:val="0"/>
          <w:sz w:val="24"/>
          <w:szCs w:val="24"/>
          <w:shd w:val="clear" w:fill="FFFFFF"/>
          <w:lang w:val="en-US" w:eastAsia="zh-CN"/>
        </w:rPr>
        <w:t>.</w:t>
      </w:r>
    </w:p>
    <w:p w14:paraId="547DD4F3">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p>
    <w:p w14:paraId="77D47A1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r>
        <w:rPr>
          <w:rFonts w:hint="default" w:ascii="Times New Roman" w:hAnsi="Times New Roman" w:cs="Times New Roman"/>
          <w:i/>
          <w:iCs/>
          <w:caps w:val="0"/>
          <w:color w:val="000000"/>
          <w:spacing w:val="0"/>
          <w:sz w:val="24"/>
          <w:szCs w:val="24"/>
          <w:shd w:val="clear" w:fill="FFFFFF"/>
        </w:rPr>
        <w:t>The period for which the personal data will be retained, or, if that is not possible, the criteria used to determine that period</w:t>
      </w:r>
    </w:p>
    <w:p w14:paraId="28EF543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val="0"/>
          <w:iCs w:val="0"/>
          <w:caps w:val="0"/>
          <w:color w:val="000000"/>
          <w:spacing w:val="0"/>
          <w:sz w:val="24"/>
          <w:szCs w:val="24"/>
          <w:shd w:val="clear" w:fill="FFFFFF"/>
        </w:rPr>
      </w:pPr>
      <w:r>
        <w:rPr>
          <w:rFonts w:hint="default" w:ascii="Times New Roman" w:hAnsi="Times New Roman" w:cs="Times New Roman"/>
          <w:i w:val="0"/>
          <w:iCs w:val="0"/>
          <w:caps w:val="0"/>
          <w:color w:val="000000"/>
          <w:spacing w:val="0"/>
          <w:sz w:val="24"/>
          <w:szCs w:val="24"/>
          <w:shd w:val="clear" w:fill="FFFFFF"/>
        </w:rPr>
        <w:t>The data exporter will retain personal data for the term of the Agreement plus the period from the end of the term of the Agreement until the deletion of all Customer Data by</w:t>
      </w:r>
      <w:r>
        <w:rPr>
          <w:rFonts w:hint="eastAsia" w:ascii="Times New Roman" w:hAnsi="Times New Roman" w:cs="Times New Roman"/>
          <w:i w:val="0"/>
          <w:iCs w:val="0"/>
          <w:caps w:val="0"/>
          <w:color w:val="000000"/>
          <w:spacing w:val="0"/>
          <w:sz w:val="24"/>
          <w:szCs w:val="24"/>
          <w:shd w:val="clear" w:fill="FFFFFF"/>
          <w:lang w:val="en-US" w:eastAsia="zh-CN"/>
        </w:rPr>
        <w:t xml:space="preserve"> CHCNAV </w:t>
      </w:r>
      <w:r>
        <w:rPr>
          <w:rFonts w:hint="default" w:ascii="Times New Roman" w:hAnsi="Times New Roman" w:cs="Times New Roman"/>
          <w:i w:val="0"/>
          <w:iCs w:val="0"/>
          <w:caps w:val="0"/>
          <w:color w:val="000000"/>
          <w:spacing w:val="0"/>
          <w:sz w:val="24"/>
          <w:szCs w:val="24"/>
          <w:shd w:val="clear" w:fill="FFFFFF"/>
        </w:rPr>
        <w:t>in accordance with the Agreement and DPA.</w:t>
      </w:r>
    </w:p>
    <w:p w14:paraId="78771BD1">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p>
    <w:p w14:paraId="7E1A7B40">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r>
        <w:rPr>
          <w:rFonts w:hint="default" w:ascii="Times New Roman" w:hAnsi="Times New Roman" w:cs="Times New Roman"/>
          <w:i/>
          <w:iCs/>
          <w:caps w:val="0"/>
          <w:color w:val="000000"/>
          <w:spacing w:val="0"/>
          <w:sz w:val="24"/>
          <w:szCs w:val="24"/>
          <w:shd w:val="clear" w:fill="FFFFFF"/>
        </w:rPr>
        <w:t>For transfers to (sub-) processors, also specify subject matter, nature and duration of the processing</w:t>
      </w:r>
    </w:p>
    <w:p w14:paraId="460764DE">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val="0"/>
          <w:iCs w:val="0"/>
          <w:caps w:val="0"/>
          <w:color w:val="000000"/>
          <w:spacing w:val="0"/>
          <w:sz w:val="24"/>
          <w:szCs w:val="24"/>
          <w:shd w:val="clear" w:fill="FFFFFF"/>
          <w:lang w:val="en-US" w:eastAsia="zh-CN"/>
        </w:rPr>
      </w:pPr>
      <w:r>
        <w:rPr>
          <w:rFonts w:hint="default" w:ascii="Times New Roman" w:hAnsi="Times New Roman" w:cs="Times New Roman"/>
          <w:i w:val="0"/>
          <w:iCs w:val="0"/>
          <w:caps w:val="0"/>
          <w:color w:val="000000"/>
          <w:spacing w:val="0"/>
          <w:sz w:val="24"/>
          <w:szCs w:val="24"/>
          <w:shd w:val="clear" w:fill="FFFFFF"/>
          <w:lang w:val="en-US" w:eastAsia="zh-CN"/>
        </w:rPr>
        <w:t xml:space="preserve">Please see Annex III </w:t>
      </w:r>
      <w:r>
        <w:rPr>
          <w:rFonts w:hint="eastAsia" w:ascii="Times New Roman" w:hAnsi="Times New Roman" w:cs="Times New Roman"/>
          <w:i w:val="0"/>
          <w:iCs w:val="0"/>
          <w:caps w:val="0"/>
          <w:color w:val="000000"/>
          <w:spacing w:val="0"/>
          <w:sz w:val="24"/>
          <w:szCs w:val="24"/>
          <w:shd w:val="clear" w:fill="FFFFFF"/>
          <w:lang w:val="en-US" w:eastAsia="zh-CN"/>
        </w:rPr>
        <w:t>.</w:t>
      </w:r>
    </w:p>
    <w:p w14:paraId="12CA967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val="0"/>
          <w:iCs w:val="0"/>
          <w:caps w:val="0"/>
          <w:color w:val="000000"/>
          <w:spacing w:val="0"/>
          <w:sz w:val="24"/>
          <w:szCs w:val="24"/>
          <w:shd w:val="clear" w:fill="FFFFFF"/>
          <w:lang w:val="en-US" w:eastAsia="zh-CN"/>
        </w:rPr>
      </w:pPr>
    </w:p>
    <w:p w14:paraId="670B7187">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C.   COMPETENT SUPERVISORY AUTHORITY</w:t>
      </w:r>
    </w:p>
    <w:p w14:paraId="6EFFC2A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iCs/>
          <w:caps w:val="0"/>
          <w:color w:val="000000"/>
          <w:spacing w:val="0"/>
          <w:sz w:val="24"/>
          <w:szCs w:val="24"/>
          <w:shd w:val="clear" w:fill="FFFFFF"/>
        </w:rPr>
        <w:t>Identify the competent supervisory authority/ies in accordance with Clause 13</w:t>
      </w:r>
    </w:p>
    <w:p w14:paraId="684C843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17" w:lineRule="atLeast"/>
        <w:ind w:left="0" w:right="0"/>
        <w:jc w:val="both"/>
        <w:textAlignment w:val="auto"/>
        <w:rPr>
          <w:rFonts w:hint="default" w:ascii="Times New Roman" w:hAnsi="Times New Roman" w:cs="Times New Roman"/>
          <w:color w:val="auto"/>
          <w:sz w:val="24"/>
          <w:szCs w:val="24"/>
        </w:rPr>
      </w:pPr>
      <w:r>
        <w:rPr>
          <w:rFonts w:hint="default" w:ascii="Times New Roman" w:hAnsi="Times New Roman" w:eastAsia="Helvetica" w:cs="Times New Roman"/>
          <w:i w:val="0"/>
          <w:iCs w:val="0"/>
          <w:caps w:val="0"/>
          <w:color w:val="auto"/>
          <w:spacing w:val="0"/>
          <w:sz w:val="24"/>
          <w:szCs w:val="24"/>
          <w:shd w:val="clear" w:fill="FFFFFF"/>
        </w:rPr>
        <w:t xml:space="preserve">The </w:t>
      </w:r>
      <w:r>
        <w:rPr>
          <w:rFonts w:hint="eastAsia" w:ascii="Times New Roman" w:hAnsi="Times New Roman" w:eastAsia="宋体" w:cs="Times New Roman"/>
          <w:i w:val="0"/>
          <w:iCs w:val="0"/>
          <w:caps w:val="0"/>
          <w:color w:val="auto"/>
          <w:spacing w:val="0"/>
          <w:sz w:val="24"/>
          <w:szCs w:val="24"/>
          <w:shd w:val="clear" w:fill="FFFFFF"/>
          <w:lang w:val="en-US" w:eastAsia="zh-CN"/>
        </w:rPr>
        <w:t>parties</w:t>
      </w:r>
      <w:r>
        <w:rPr>
          <w:rFonts w:hint="default" w:ascii="Times New Roman" w:hAnsi="Times New Roman" w:eastAsia="Helvetica" w:cs="Times New Roman"/>
          <w:i w:val="0"/>
          <w:iCs w:val="0"/>
          <w:caps w:val="0"/>
          <w:color w:val="auto"/>
          <w:spacing w:val="0"/>
          <w:sz w:val="24"/>
          <w:szCs w:val="24"/>
          <w:shd w:val="clear" w:fill="FFFFFF"/>
        </w:rPr>
        <w:t>’ competent supervisory authority will be determined in accordance with the GDPR.</w:t>
      </w:r>
    </w:p>
    <w:p w14:paraId="29B45B92">
      <w:pPr>
        <w:keepNext w:val="0"/>
        <w:keepLines w:val="0"/>
        <w:pageBreakBefore w:val="0"/>
        <w:widowControl/>
        <w:suppressLineNumbers w:val="0"/>
        <w:pBdr>
          <w:top w:val="single" w:color="DEE8EC" w:sz="4" w:space="0"/>
          <w:left w:val="none" w:color="DEE8EC" w:sz="0" w:space="0"/>
          <w:bottom w:val="none" w:color="DEE8EC" w:sz="0" w:space="0"/>
          <w:right w:val="none" w:color="DEE8EC" w:sz="0" w:space="0"/>
        </w:pBdr>
        <w:tabs>
          <w:tab w:val="left" w:pos="420"/>
        </w:tabs>
        <w:kinsoku/>
        <w:wordWrap/>
        <w:overflowPunct/>
        <w:topLinePunct w:val="0"/>
        <w:autoSpaceDE/>
        <w:autoSpaceDN/>
        <w:bidi w:val="0"/>
        <w:adjustRightInd/>
        <w:snapToGrid/>
        <w:spacing w:before="80" w:beforeAutospacing="0" w:after="80" w:afterAutospacing="0"/>
        <w:jc w:val="center"/>
        <w:textAlignment w:val="auto"/>
        <w:rPr>
          <w:rFonts w:hint="default" w:ascii="Times New Roman" w:hAnsi="Times New Roman" w:cs="Times New Roman"/>
          <w:color w:val="000000"/>
          <w:sz w:val="24"/>
          <w:szCs w:val="24"/>
        </w:rPr>
      </w:pPr>
      <w:r>
        <w:rPr>
          <w:rFonts w:hint="default" w:ascii="Times New Roman" w:hAnsi="Times New Roman" w:cs="Times New Roman"/>
          <w:sz w:val="24"/>
          <w:szCs w:val="24"/>
        </w:rPr>
        <w:pict>
          <v:rect id="_x0000_i1027" o:spt="1" style="height:1.5pt;width:68pt;" fillcolor="#000000" filled="t" stroked="f" coordsize="21600,21600" o:hr="t" o:hrstd="t" o:hrnoshade="t" o:hrpct="0" o:hralign="center">
            <v:path/>
            <v:fill on="t" focussize="0,0"/>
            <v:stroke on="f"/>
            <v:imagedata o:title=""/>
            <o:lock v:ext="edit"/>
            <w10:wrap type="none"/>
            <w10:anchorlock/>
          </v:rect>
        </w:pict>
      </w:r>
    </w:p>
    <w:p w14:paraId="2AC74B1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center"/>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ANNEX II</w:t>
      </w:r>
    </w:p>
    <w:p w14:paraId="7377E23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TECHNICAL AND ORGANISATIONAL MEASURES INCLUDING TECHNICAL AND ORGANISATIONAL MEASURES TO ENSURE THE SECURITY OF THE DATA</w:t>
      </w:r>
    </w:p>
    <w:p w14:paraId="49777F6E">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b/>
          <w:bCs/>
          <w:i w:val="0"/>
          <w:iCs w:val="0"/>
          <w:caps w:val="0"/>
          <w:color w:val="000000"/>
          <w:spacing w:val="0"/>
          <w:sz w:val="24"/>
          <w:szCs w:val="24"/>
          <w:shd w:val="clear" w:fill="FFFFFF"/>
        </w:rPr>
        <w:t>MODULE TWO: Transfer controller to processor</w:t>
      </w:r>
    </w:p>
    <w:p w14:paraId="0BB61080">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EXPLANATORY NOTE:</w:t>
      </w:r>
    </w:p>
    <w:p w14:paraId="743786DC">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The technical and organisational measures must be described in specific (and not generic) terms. See also the general comment on the first page of the Appendix, in particular on the need to clearly indicate which measures apply to each transfer/set of transfers.</w:t>
      </w:r>
    </w:p>
    <w:p w14:paraId="20B6C72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iCs/>
          <w:caps w:val="0"/>
          <w:color w:val="000000"/>
          <w:spacing w:val="0"/>
          <w:sz w:val="24"/>
          <w:szCs w:val="24"/>
          <w:shd w:val="clear" w:fill="FFFFFF"/>
        </w:rPr>
        <w:t>Description of the technical and organisational measures implemented by the data importer(s) (including any relevant certifications) to ensure an appropriate level of security, taking into account the nature, scope, context and purpose of the processing, and the risks for the rights and freedoms of natural persons.</w:t>
      </w:r>
    </w:p>
    <w:p w14:paraId="1C6D7F58">
      <w:pPr>
        <w:numPr>
          <w:numId w:val="0"/>
        </w:numPr>
        <w:spacing w:line="360" w:lineRule="auto"/>
        <w:ind w:left="110" w:leftChars="0"/>
        <w:rPr>
          <w:rFonts w:ascii="Times New Roman" w:hAnsi="Times New Roman" w:cs="Times New Roman"/>
          <w:color w:val="auto"/>
          <w:sz w:val="24"/>
          <w:highlight w:val="none"/>
        </w:rPr>
      </w:pPr>
      <w:r>
        <w:rPr>
          <w:rFonts w:ascii="Times New Roman" w:hAnsi="Times New Roman" w:cs="Times New Roman"/>
          <w:color w:val="auto"/>
          <w:sz w:val="24"/>
          <w:highlight w:val="none"/>
        </w:rPr>
        <w:t xml:space="preserve">To protect </w:t>
      </w:r>
      <w:r>
        <w:rPr>
          <w:rFonts w:hint="eastAsia" w:ascii="Times New Roman" w:hAnsi="Times New Roman" w:cs="Times New Roman"/>
          <w:color w:val="auto"/>
          <w:sz w:val="24"/>
          <w:highlight w:val="none"/>
          <w:lang w:val="en-US" w:eastAsia="zh-CN"/>
        </w:rPr>
        <w:t>customers'</w:t>
      </w:r>
      <w:r>
        <w:rPr>
          <w:rFonts w:ascii="Times New Roman" w:hAnsi="Times New Roman" w:cs="Times New Roman"/>
          <w:color w:val="auto"/>
          <w:sz w:val="24"/>
          <w:highlight w:val="none"/>
        </w:rPr>
        <w:t xml:space="preserve"> </w:t>
      </w:r>
      <w:r>
        <w:rPr>
          <w:rFonts w:hint="eastAsia" w:ascii="Times New Roman" w:hAnsi="Times New Roman" w:cs="Times New Roman"/>
          <w:color w:val="auto"/>
          <w:sz w:val="24"/>
          <w:highlight w:val="none"/>
          <w:lang w:val="en-US" w:eastAsia="zh-CN"/>
        </w:rPr>
        <w:t>personal data</w:t>
      </w:r>
      <w:r>
        <w:rPr>
          <w:rFonts w:hint="eastAsia" w:ascii="Times New Roman" w:hAnsi="Times New Roman" w:cs="Times New Roman"/>
          <w:color w:val="auto"/>
          <w:sz w:val="24"/>
          <w:highlight w:val="none"/>
        </w:rPr>
        <w:t xml:space="preserve"> security</w:t>
      </w:r>
      <w:r>
        <w:rPr>
          <w:rFonts w:ascii="Times New Roman" w:hAnsi="Times New Roman" w:cs="Times New Roman"/>
          <w:color w:val="auto"/>
          <w:sz w:val="24"/>
          <w:highlight w:val="none"/>
        </w:rPr>
        <w:t>, we implement</w:t>
      </w:r>
      <w:r>
        <w:rPr>
          <w:rFonts w:hint="eastAsia" w:ascii="Times New Roman" w:hAnsi="Times New Roman" w:cs="Times New Roman"/>
          <w:color w:val="auto"/>
          <w:sz w:val="24"/>
          <w:highlight w:val="none"/>
        </w:rPr>
        <w:t xml:space="preserve"> all</w:t>
      </w:r>
      <w:r>
        <w:rPr>
          <w:rFonts w:ascii="Times New Roman" w:hAnsi="Times New Roman" w:cs="Times New Roman"/>
          <w:color w:val="auto"/>
          <w:sz w:val="24"/>
          <w:highlight w:val="none"/>
        </w:rPr>
        <w:t xml:space="preserve"> reasonable physical, electronic, and administrative security measures to prevent unauthorized access, use, alteration, public disclosure, damage, or loss of </w:t>
      </w:r>
      <w:r>
        <w:rPr>
          <w:rFonts w:hint="eastAsia" w:ascii="Times New Roman" w:hAnsi="Times New Roman" w:cs="Times New Roman"/>
          <w:color w:val="auto"/>
          <w:sz w:val="24"/>
          <w:highlight w:val="none"/>
          <w:lang w:val="en-US" w:eastAsia="zh-CN"/>
        </w:rPr>
        <w:t>customers' personal data</w:t>
      </w:r>
      <w:r>
        <w:rPr>
          <w:rFonts w:ascii="Times New Roman" w:hAnsi="Times New Roman" w:cs="Times New Roman"/>
          <w:color w:val="auto"/>
          <w:sz w:val="24"/>
          <w:highlight w:val="none"/>
        </w:rPr>
        <w:t xml:space="preserve">. We have taken all reasonable and feasible measures to protect </w:t>
      </w:r>
      <w:r>
        <w:rPr>
          <w:rFonts w:hint="eastAsia" w:ascii="Times New Roman" w:hAnsi="Times New Roman" w:cs="Times New Roman"/>
          <w:color w:val="auto"/>
          <w:sz w:val="24"/>
          <w:highlight w:val="none"/>
          <w:lang w:val="en-US" w:eastAsia="zh-CN"/>
        </w:rPr>
        <w:t>customers'</w:t>
      </w:r>
      <w:r>
        <w:rPr>
          <w:rFonts w:ascii="Times New Roman" w:hAnsi="Times New Roman" w:cs="Times New Roman"/>
          <w:color w:val="auto"/>
          <w:sz w:val="24"/>
          <w:highlight w:val="none"/>
        </w:rPr>
        <w:t xml:space="preserve"> personal data.</w:t>
      </w:r>
      <w:r>
        <w:rPr>
          <w:rFonts w:hint="eastAsia" w:ascii="Times New Roman" w:hAnsi="Times New Roman" w:cs="Times New Roman"/>
          <w:color w:val="auto"/>
          <w:sz w:val="24"/>
          <w:highlight w:val="none"/>
        </w:rPr>
        <w:t xml:space="preserve"> </w:t>
      </w:r>
      <w:r>
        <w:rPr>
          <w:rFonts w:ascii="Times New Roman" w:hAnsi="Times New Roman" w:cs="Times New Roman"/>
          <w:color w:val="auto"/>
          <w:sz w:val="24"/>
          <w:highlight w:val="none"/>
        </w:rPr>
        <w:t>For example:</w:t>
      </w:r>
    </w:p>
    <w:p w14:paraId="23AE6D67">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(a) Ensuring personal data security through security management, policies, procedures, network architecture</w:t>
      </w:r>
      <w:r>
        <w:rPr>
          <w:rFonts w:hint="eastAsia" w:ascii="Times New Roman" w:hAnsi="Times New Roman" w:cs="Times New Roman"/>
          <w:color w:val="auto"/>
          <w:sz w:val="24"/>
          <w:highlight w:val="none"/>
        </w:rPr>
        <w:t>, etc.</w:t>
      </w:r>
      <w:r>
        <w:rPr>
          <w:rFonts w:ascii="Times New Roman" w:hAnsi="Times New Roman" w:cs="Times New Roman"/>
          <w:color w:val="auto"/>
          <w:sz w:val="24"/>
          <w:highlight w:val="none"/>
        </w:rPr>
        <w:t>;</w:t>
      </w:r>
    </w:p>
    <w:p w14:paraId="29F69AA7">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(b) Using encrypted transmission protocols such as HTTPS and MQTTS to secure data transmission</w:t>
      </w:r>
      <w:r>
        <w:rPr>
          <w:rFonts w:hint="eastAsia" w:ascii="Times New Roman" w:hAnsi="Times New Roman" w:cs="Times New Roman"/>
          <w:color w:val="auto"/>
          <w:sz w:val="24"/>
          <w:highlight w:val="none"/>
        </w:rPr>
        <w:t>,</w:t>
      </w:r>
      <w:r>
        <w:rPr>
          <w:rFonts w:ascii="Times New Roman" w:hAnsi="Times New Roman" w:cs="Times New Roman"/>
          <w:color w:val="auto"/>
          <w:sz w:val="24"/>
          <w:highlight w:val="none"/>
        </w:rPr>
        <w:t xml:space="preserve"> and employing TLS-base certificates for mutual authentication between servers and devices</w:t>
      </w:r>
      <w:r>
        <w:rPr>
          <w:rFonts w:hint="eastAsia" w:ascii="Times New Roman" w:hAnsi="Times New Roman" w:cs="Times New Roman"/>
          <w:color w:val="auto"/>
          <w:sz w:val="24"/>
          <w:highlight w:val="none"/>
        </w:rPr>
        <w:t>, to ensure your personal data security during the transmission</w:t>
      </w:r>
      <w:r>
        <w:rPr>
          <w:rFonts w:ascii="Times New Roman" w:hAnsi="Times New Roman" w:cs="Times New Roman"/>
          <w:color w:val="auto"/>
          <w:sz w:val="24"/>
          <w:highlight w:val="none"/>
        </w:rPr>
        <w:t>;</w:t>
      </w:r>
    </w:p>
    <w:p w14:paraId="234E0DCD">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 xml:space="preserve">(c) Deploying access control mechanisms, establishing data classification and grading systems, and using hard-coded restrictions to </w:t>
      </w:r>
      <w:r>
        <w:rPr>
          <w:rFonts w:hint="eastAsia" w:ascii="Times New Roman" w:hAnsi="Times New Roman" w:cs="Times New Roman"/>
          <w:color w:val="auto"/>
          <w:sz w:val="24"/>
          <w:highlight w:val="none"/>
        </w:rPr>
        <w:t xml:space="preserve">limit user access, </w:t>
      </w:r>
      <w:r>
        <w:rPr>
          <w:rFonts w:ascii="Times New Roman" w:hAnsi="Times New Roman" w:cs="Times New Roman"/>
          <w:color w:val="auto"/>
          <w:sz w:val="24"/>
          <w:highlight w:val="none"/>
        </w:rPr>
        <w:t>ensur</w:t>
      </w:r>
      <w:r>
        <w:rPr>
          <w:rFonts w:hint="eastAsia" w:ascii="Times New Roman" w:hAnsi="Times New Roman" w:cs="Times New Roman"/>
          <w:color w:val="auto"/>
          <w:sz w:val="24"/>
          <w:highlight w:val="none"/>
        </w:rPr>
        <w:t>ing</w:t>
      </w:r>
      <w:r>
        <w:rPr>
          <w:rFonts w:ascii="Times New Roman" w:hAnsi="Times New Roman" w:cs="Times New Roman"/>
          <w:color w:val="auto"/>
          <w:sz w:val="24"/>
          <w:highlight w:val="none"/>
        </w:rPr>
        <w:t xml:space="preserve"> only authorized personnel can access personal data;</w:t>
      </w:r>
    </w:p>
    <w:p w14:paraId="26591C0C">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(d) Maintaining server-side and device-side logs for different business services to allow developers to quickly locate issues in the event of business vulnerabilities;</w:t>
      </w:r>
    </w:p>
    <w:p w14:paraId="3CAC8EC7">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(e) Using various methods to anonymize and encrypt data.</w:t>
      </w:r>
    </w:p>
    <w:p w14:paraId="0A63596F">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2</w:t>
      </w:r>
      <w:r>
        <w:rPr>
          <w:rFonts w:hint="eastAsia" w:ascii="Times New Roman" w:hAnsi="Times New Roman" w:cs="Times New Roman"/>
          <w:color w:val="auto"/>
          <w:sz w:val="24"/>
          <w:highlight w:val="none"/>
          <w:lang w:val="en-US" w:eastAsia="zh-CN"/>
        </w:rPr>
        <w:t>.</w:t>
      </w:r>
      <w:r>
        <w:rPr>
          <w:rFonts w:ascii="Times New Roman" w:hAnsi="Times New Roman" w:cs="Times New Roman"/>
          <w:color w:val="auto"/>
          <w:sz w:val="24"/>
          <w:highlight w:val="none"/>
        </w:rPr>
        <w:t xml:space="preserve"> We have established a comprehensive data security protection system for this </w:t>
      </w:r>
      <w:r>
        <w:rPr>
          <w:rFonts w:hint="eastAsia" w:ascii="Times New Roman" w:hAnsi="Times New Roman" w:cs="Times New Roman"/>
          <w:color w:val="auto"/>
          <w:sz w:val="24"/>
          <w:highlight w:val="none"/>
          <w:lang w:eastAsia="zh-CN"/>
        </w:rPr>
        <w:t>Cloud</w:t>
      </w:r>
      <w:r>
        <w:rPr>
          <w:rFonts w:ascii="Times New Roman" w:hAnsi="Times New Roman" w:cs="Times New Roman"/>
          <w:color w:val="auto"/>
          <w:sz w:val="24"/>
          <w:highlight w:val="none"/>
        </w:rPr>
        <w:t>, including:</w:t>
      </w:r>
    </w:p>
    <w:p w14:paraId="2A4EB7F7">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w:t>
      </w:r>
      <w:r>
        <w:rPr>
          <w:rFonts w:hint="eastAsia" w:ascii="Times New Roman" w:hAnsi="Times New Roman" w:cs="Times New Roman"/>
          <w:color w:val="auto"/>
          <w:sz w:val="24"/>
          <w:highlight w:val="none"/>
          <w:lang w:val="en-US" w:eastAsia="zh-CN"/>
        </w:rPr>
        <w:t>a</w:t>
      </w:r>
      <w:r>
        <w:rPr>
          <w:rFonts w:ascii="Times New Roman" w:hAnsi="Times New Roman" w:cs="Times New Roman"/>
          <w:color w:val="auto"/>
          <w:sz w:val="24"/>
          <w:highlight w:val="none"/>
        </w:rPr>
        <w:t xml:space="preserve">) </w:t>
      </w:r>
      <w:r>
        <w:rPr>
          <w:rFonts w:hint="eastAsia" w:ascii="Times New Roman" w:hAnsi="Times New Roman" w:cs="Times New Roman"/>
          <w:color w:val="auto"/>
          <w:sz w:val="24"/>
          <w:highlight w:val="none"/>
        </w:rPr>
        <w:t>F</w:t>
      </w:r>
      <w:r>
        <w:rPr>
          <w:rFonts w:ascii="Times New Roman" w:hAnsi="Times New Roman" w:cs="Times New Roman"/>
          <w:color w:val="auto"/>
          <w:sz w:val="24"/>
          <w:highlight w:val="none"/>
        </w:rPr>
        <w:t>ormulat</w:t>
      </w:r>
      <w:r>
        <w:rPr>
          <w:rFonts w:hint="eastAsia" w:ascii="Times New Roman" w:hAnsi="Times New Roman" w:cs="Times New Roman"/>
          <w:color w:val="auto"/>
          <w:sz w:val="24"/>
          <w:highlight w:val="none"/>
        </w:rPr>
        <w:t>ing</w:t>
      </w:r>
      <w:r>
        <w:rPr>
          <w:rFonts w:ascii="Times New Roman" w:hAnsi="Times New Roman" w:cs="Times New Roman"/>
          <w:color w:val="auto"/>
          <w:sz w:val="24"/>
          <w:highlight w:val="none"/>
        </w:rPr>
        <w:t xml:space="preserve"> internal network security and data security management systems and operating procedures. </w:t>
      </w:r>
      <w:r>
        <w:rPr>
          <w:rFonts w:hint="eastAsia" w:ascii="Times New Roman" w:hAnsi="Times New Roman" w:cs="Times New Roman"/>
          <w:color w:val="auto"/>
          <w:sz w:val="24"/>
          <w:highlight w:val="none"/>
        </w:rPr>
        <w:t>Implementing</w:t>
      </w:r>
      <w:r>
        <w:rPr>
          <w:rFonts w:ascii="Times New Roman" w:hAnsi="Times New Roman" w:cs="Times New Roman"/>
          <w:color w:val="auto"/>
          <w:sz w:val="24"/>
          <w:highlight w:val="none"/>
        </w:rPr>
        <w:t xml:space="preserve"> security management </w:t>
      </w:r>
      <w:r>
        <w:rPr>
          <w:rFonts w:hint="eastAsia" w:ascii="Times New Roman" w:hAnsi="Times New Roman" w:cs="Times New Roman"/>
          <w:color w:val="auto"/>
          <w:sz w:val="24"/>
          <w:highlight w:val="none"/>
        </w:rPr>
        <w:t>measures</w:t>
      </w:r>
      <w:r>
        <w:rPr>
          <w:rFonts w:ascii="Times New Roman" w:hAnsi="Times New Roman" w:cs="Times New Roman"/>
          <w:color w:val="auto"/>
          <w:sz w:val="24"/>
          <w:highlight w:val="none"/>
        </w:rPr>
        <w:t>, which include encryption storage, access control, log auditing, and data backup management,</w:t>
      </w:r>
      <w:r>
        <w:rPr>
          <w:rFonts w:hint="eastAsia" w:ascii="Times New Roman" w:hAnsi="Times New Roman" w:cs="Times New Roman"/>
          <w:color w:val="auto"/>
          <w:sz w:val="24"/>
          <w:highlight w:val="none"/>
        </w:rPr>
        <w:t xml:space="preserve"> and other measures,</w:t>
      </w:r>
      <w:r>
        <w:rPr>
          <w:rFonts w:ascii="Times New Roman" w:hAnsi="Times New Roman" w:cs="Times New Roman"/>
          <w:color w:val="auto"/>
          <w:sz w:val="24"/>
          <w:highlight w:val="none"/>
        </w:rPr>
        <w:t xml:space="preserve"> to ensure data security and prevent unauthorized use</w:t>
      </w:r>
      <w:r>
        <w:rPr>
          <w:rFonts w:hint="eastAsia" w:ascii="Times New Roman" w:hAnsi="Times New Roman" w:cs="Times New Roman"/>
          <w:color w:val="auto"/>
          <w:sz w:val="24"/>
          <w:highlight w:val="none"/>
        </w:rPr>
        <w:t xml:space="preserve">. </w:t>
      </w:r>
      <w:r>
        <w:rPr>
          <w:rFonts w:ascii="Times New Roman" w:hAnsi="Times New Roman" w:cs="Times New Roman"/>
          <w:color w:val="auto"/>
          <w:sz w:val="24"/>
          <w:highlight w:val="none"/>
        </w:rPr>
        <w:t>There are strict processing requirements for data collection, use, transmission, or anonymization, which can effectively prevent the illegal use of personal data;</w:t>
      </w:r>
    </w:p>
    <w:p w14:paraId="7EB416A0">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w:t>
      </w:r>
      <w:r>
        <w:rPr>
          <w:rFonts w:hint="eastAsia" w:ascii="Times New Roman" w:hAnsi="Times New Roman" w:cs="Times New Roman"/>
          <w:color w:val="auto"/>
          <w:sz w:val="24"/>
          <w:highlight w:val="none"/>
          <w:lang w:val="en-US" w:eastAsia="zh-CN"/>
        </w:rPr>
        <w:t>b</w:t>
      </w:r>
      <w:r>
        <w:rPr>
          <w:rFonts w:ascii="Times New Roman" w:hAnsi="Times New Roman" w:cs="Times New Roman"/>
          <w:color w:val="auto"/>
          <w:sz w:val="24"/>
          <w:highlight w:val="none"/>
        </w:rPr>
        <w:t>) Managing employee permissions, establishing specialized roles responsible for user permissions, as well as building, operating, and maintaining authorization and access control systems;</w:t>
      </w:r>
    </w:p>
    <w:p w14:paraId="483466D7">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w:t>
      </w:r>
      <w:r>
        <w:rPr>
          <w:rFonts w:hint="eastAsia" w:ascii="Times New Roman" w:hAnsi="Times New Roman" w:cs="Times New Roman"/>
          <w:color w:val="auto"/>
          <w:sz w:val="24"/>
          <w:highlight w:val="none"/>
          <w:lang w:val="en-US" w:eastAsia="zh-CN"/>
        </w:rPr>
        <w:t>c</w:t>
      </w:r>
      <w:r>
        <w:rPr>
          <w:rFonts w:ascii="Times New Roman" w:hAnsi="Times New Roman" w:cs="Times New Roman"/>
          <w:color w:val="auto"/>
          <w:sz w:val="24"/>
          <w:highlight w:val="none"/>
        </w:rPr>
        <w:t>) Conducting access reviews of information systems and implementing intrusion prevention, antivirus measures</w:t>
      </w:r>
      <w:r>
        <w:rPr>
          <w:rFonts w:hint="eastAsia" w:ascii="Times New Roman" w:hAnsi="Times New Roman" w:cs="Times New Roman"/>
          <w:color w:val="auto"/>
          <w:sz w:val="24"/>
          <w:highlight w:val="none"/>
        </w:rPr>
        <w:t>, etc.</w:t>
      </w:r>
      <w:r>
        <w:rPr>
          <w:rFonts w:ascii="Times New Roman" w:hAnsi="Times New Roman" w:cs="Times New Roman"/>
          <w:color w:val="auto"/>
          <w:sz w:val="24"/>
          <w:highlight w:val="none"/>
        </w:rPr>
        <w:t xml:space="preserve">, </w:t>
      </w:r>
      <w:r>
        <w:rPr>
          <w:rFonts w:hint="eastAsia" w:ascii="Times New Roman" w:hAnsi="Times New Roman" w:cs="Times New Roman"/>
          <w:color w:val="auto"/>
          <w:sz w:val="24"/>
          <w:highlight w:val="none"/>
        </w:rPr>
        <w:t xml:space="preserve">and </w:t>
      </w:r>
      <w:r>
        <w:rPr>
          <w:rFonts w:ascii="Times New Roman" w:hAnsi="Times New Roman" w:cs="Times New Roman"/>
          <w:color w:val="auto"/>
          <w:sz w:val="24"/>
          <w:highlight w:val="none"/>
        </w:rPr>
        <w:t>periodic security assessments using professional vulnerability scanning and evaluation technologies to secure network devices</w:t>
      </w:r>
      <w:r>
        <w:rPr>
          <w:rFonts w:hint="eastAsia" w:ascii="Times New Roman" w:hAnsi="Times New Roman" w:cs="Times New Roman"/>
          <w:color w:val="auto"/>
          <w:sz w:val="24"/>
          <w:highlight w:val="none"/>
        </w:rPr>
        <w:t xml:space="preserve">, and </w:t>
      </w:r>
      <w:r>
        <w:rPr>
          <w:rFonts w:ascii="Times New Roman" w:hAnsi="Times New Roman" w:cs="Times New Roman"/>
          <w:color w:val="auto"/>
          <w:sz w:val="24"/>
          <w:highlight w:val="none"/>
        </w:rPr>
        <w:t>repair</w:t>
      </w:r>
      <w:r>
        <w:rPr>
          <w:rFonts w:hint="eastAsia" w:ascii="Times New Roman" w:hAnsi="Times New Roman" w:cs="Times New Roman"/>
          <w:color w:val="auto"/>
          <w:sz w:val="24"/>
          <w:highlight w:val="none"/>
        </w:rPr>
        <w:t>ing</w:t>
      </w:r>
      <w:r>
        <w:rPr>
          <w:rFonts w:ascii="Times New Roman" w:hAnsi="Times New Roman" w:cs="Times New Roman"/>
          <w:color w:val="auto"/>
          <w:sz w:val="24"/>
          <w:highlight w:val="none"/>
        </w:rPr>
        <w:t xml:space="preserve"> the system according to the results;</w:t>
      </w:r>
      <w:r>
        <w:rPr>
          <w:rFonts w:ascii="Times New Roman" w:hAnsi="Times New Roman" w:cs="Times New Roman"/>
          <w:color w:val="auto"/>
          <w:sz w:val="24"/>
          <w:highlight w:val="none"/>
        </w:rPr>
        <w:br w:type="textWrapping"/>
      </w:r>
      <w:r>
        <w:rPr>
          <w:rFonts w:ascii="Times New Roman" w:hAnsi="Times New Roman" w:cs="Times New Roman"/>
          <w:color w:val="auto"/>
          <w:sz w:val="24"/>
          <w:highlight w:val="none"/>
        </w:rPr>
        <w:t>(</w:t>
      </w:r>
      <w:r>
        <w:rPr>
          <w:rFonts w:hint="eastAsia" w:ascii="Times New Roman" w:hAnsi="Times New Roman" w:cs="Times New Roman"/>
          <w:color w:val="auto"/>
          <w:sz w:val="24"/>
          <w:highlight w:val="none"/>
          <w:lang w:val="en-US" w:eastAsia="zh-CN"/>
        </w:rPr>
        <w:t>d</w:t>
      </w:r>
      <w:r>
        <w:rPr>
          <w:rFonts w:ascii="Times New Roman" w:hAnsi="Times New Roman" w:cs="Times New Roman"/>
          <w:color w:val="auto"/>
          <w:sz w:val="24"/>
          <w:highlight w:val="none"/>
        </w:rPr>
        <w:t xml:space="preserve">) Regularly assessing the security skills of personnel </w:t>
      </w:r>
      <w:r>
        <w:rPr>
          <w:rFonts w:hint="eastAsia" w:ascii="Times New Roman" w:hAnsi="Times New Roman" w:cs="Times New Roman"/>
          <w:color w:val="auto"/>
          <w:sz w:val="24"/>
          <w:highlight w:val="none"/>
        </w:rPr>
        <w:t xml:space="preserve">in positions </w:t>
      </w:r>
      <w:r>
        <w:rPr>
          <w:rFonts w:ascii="Times New Roman" w:hAnsi="Times New Roman" w:cs="Times New Roman"/>
          <w:color w:val="auto"/>
          <w:sz w:val="24"/>
          <w:highlight w:val="none"/>
        </w:rPr>
        <w:t xml:space="preserve">responsible for information security management, inspection, and execution, as well as conducting security awareness </w:t>
      </w:r>
      <w:r>
        <w:rPr>
          <w:rFonts w:hint="eastAsia" w:ascii="Times New Roman" w:hAnsi="Times New Roman" w:cs="Times New Roman"/>
          <w:color w:val="auto"/>
          <w:sz w:val="24"/>
          <w:highlight w:val="none"/>
        </w:rPr>
        <w:t>assessments</w:t>
      </w:r>
      <w:r>
        <w:rPr>
          <w:rFonts w:ascii="Times New Roman" w:hAnsi="Times New Roman" w:cs="Times New Roman"/>
          <w:color w:val="auto"/>
          <w:sz w:val="24"/>
          <w:highlight w:val="none"/>
        </w:rPr>
        <w:t xml:space="preserve"> for employees</w:t>
      </w:r>
      <w:r>
        <w:rPr>
          <w:rFonts w:hint="eastAsia" w:ascii="Times New Roman" w:hAnsi="Times New Roman" w:cs="Times New Roman"/>
          <w:color w:val="auto"/>
          <w:sz w:val="24"/>
          <w:highlight w:val="none"/>
        </w:rPr>
        <w:t xml:space="preserve"> in all positions</w:t>
      </w:r>
      <w:r>
        <w:rPr>
          <w:rFonts w:ascii="Times New Roman" w:hAnsi="Times New Roman" w:cs="Times New Roman"/>
          <w:color w:val="auto"/>
          <w:sz w:val="24"/>
          <w:highlight w:val="none"/>
        </w:rPr>
        <w:t>.</w:t>
      </w:r>
    </w:p>
    <w:p w14:paraId="7799D1FD">
      <w:pPr>
        <w:spacing w:line="360" w:lineRule="auto"/>
        <w:rPr>
          <w:rFonts w:ascii="Times New Roman" w:hAnsi="Times New Roman" w:cs="Times New Roman"/>
          <w:color w:val="auto"/>
          <w:sz w:val="24"/>
          <w:highlight w:val="none"/>
        </w:rPr>
      </w:pPr>
      <w:r>
        <w:rPr>
          <w:rFonts w:ascii="Times New Roman" w:hAnsi="Times New Roman" w:cs="Times New Roman"/>
          <w:color w:val="auto"/>
          <w:sz w:val="24"/>
          <w:highlight w:val="none"/>
        </w:rPr>
        <w:t xml:space="preserve"> You acknowledge that the internet </w:t>
      </w:r>
      <w:r>
        <w:rPr>
          <w:rFonts w:hint="eastAsia" w:ascii="Times New Roman" w:hAnsi="Times New Roman" w:cs="Times New Roman"/>
          <w:color w:val="auto"/>
          <w:sz w:val="24"/>
          <w:highlight w:val="none"/>
        </w:rPr>
        <w:t xml:space="preserve">environment </w:t>
      </w:r>
      <w:r>
        <w:rPr>
          <w:rFonts w:ascii="Times New Roman" w:hAnsi="Times New Roman" w:cs="Times New Roman"/>
          <w:color w:val="auto"/>
          <w:sz w:val="24"/>
          <w:highlight w:val="none"/>
        </w:rPr>
        <w:t xml:space="preserve">and electronic data transmission are not entirely secure. </w:t>
      </w:r>
      <w:r>
        <w:rPr>
          <w:rFonts w:hint="eastAsia" w:ascii="Times New Roman" w:hAnsi="Times New Roman" w:cs="Times New Roman"/>
          <w:color w:val="auto"/>
          <w:sz w:val="24"/>
          <w:highlight w:val="none"/>
        </w:rPr>
        <w:t>W</w:t>
      </w:r>
      <w:r>
        <w:rPr>
          <w:rFonts w:ascii="Times New Roman" w:hAnsi="Times New Roman" w:cs="Times New Roman"/>
          <w:color w:val="auto"/>
          <w:sz w:val="24"/>
          <w:highlight w:val="none"/>
        </w:rPr>
        <w:t>e cannot guarantee that these measures will fully prevent</w:t>
      </w:r>
      <w:r>
        <w:rPr>
          <w:rFonts w:hint="eastAsia" w:ascii="Times New Roman" w:hAnsi="Times New Roman" w:cs="Times New Roman"/>
          <w:color w:val="auto"/>
          <w:sz w:val="24"/>
          <w:highlight w:val="none"/>
        </w:rPr>
        <w:t xml:space="preserve"> any </w:t>
      </w:r>
      <w:r>
        <w:rPr>
          <w:rFonts w:ascii="Times New Roman" w:hAnsi="Times New Roman" w:cs="Times New Roman"/>
          <w:color w:val="auto"/>
          <w:sz w:val="24"/>
          <w:highlight w:val="none"/>
        </w:rPr>
        <w:t>unauthorized access, use, or disclosure of your information.</w:t>
      </w:r>
    </w:p>
    <w:p w14:paraId="72D41D1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i/>
          <w:iCs/>
          <w:caps w:val="0"/>
          <w:color w:val="000000"/>
          <w:spacing w:val="0"/>
          <w:sz w:val="24"/>
          <w:szCs w:val="24"/>
          <w:shd w:val="clear" w:fill="FFFFFF"/>
        </w:rPr>
      </w:pPr>
    </w:p>
    <w:p w14:paraId="2A4FD4B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color w:val="auto"/>
          <w:sz w:val="24"/>
          <w:szCs w:val="24"/>
        </w:rPr>
      </w:pPr>
      <w:r>
        <w:rPr>
          <w:rFonts w:hint="default" w:ascii="Times New Roman" w:hAnsi="Times New Roman" w:cs="Times New Roman"/>
          <w:i/>
          <w:iCs/>
          <w:caps w:val="0"/>
          <w:color w:val="000000"/>
          <w:spacing w:val="0"/>
          <w:sz w:val="24"/>
          <w:szCs w:val="24"/>
          <w:shd w:val="clear" w:fill="FFFFFF"/>
        </w:rPr>
        <w:t>For transfers to (sub-) processors, also</w:t>
      </w:r>
      <w:r>
        <w:rPr>
          <w:rFonts w:hint="default" w:ascii="Times New Roman" w:hAnsi="Times New Roman" w:cs="Times New Roman"/>
          <w:i w:val="0"/>
          <w:iCs w:val="0"/>
          <w:caps w:val="0"/>
          <w:color w:val="000000"/>
          <w:spacing w:val="0"/>
          <w:sz w:val="24"/>
          <w:szCs w:val="24"/>
          <w:shd w:val="clear" w:fill="FFFFFF"/>
        </w:rPr>
        <w:t> </w:t>
      </w:r>
      <w:r>
        <w:rPr>
          <w:rFonts w:hint="default" w:ascii="Times New Roman" w:hAnsi="Times New Roman" w:cs="Times New Roman"/>
          <w:i/>
          <w:iCs/>
          <w:caps w:val="0"/>
          <w:color w:val="000000"/>
          <w:spacing w:val="0"/>
          <w:sz w:val="24"/>
          <w:szCs w:val="24"/>
          <w:shd w:val="clear" w:fill="FFFFFF"/>
        </w:rPr>
        <w:t xml:space="preserve">describe the specific technical and organisational measures to be taken by the (sub-) processor to be able to provide </w:t>
      </w:r>
      <w:r>
        <w:rPr>
          <w:rFonts w:hint="default" w:ascii="Times New Roman" w:hAnsi="Times New Roman" w:cs="Times New Roman"/>
          <w:i/>
          <w:iCs/>
          <w:caps w:val="0"/>
          <w:color w:val="auto"/>
          <w:spacing w:val="0"/>
          <w:sz w:val="24"/>
          <w:szCs w:val="24"/>
          <w:shd w:val="clear" w:fill="FFFFFF"/>
        </w:rPr>
        <w:t>assistance to the controller and, for transfers from a processor to a sub-processor, to the data exporter</w:t>
      </w:r>
    </w:p>
    <w:p w14:paraId="7A04C91F">
      <w:pPr>
        <w:spacing w:line="360" w:lineRule="auto"/>
        <w:rPr>
          <w:rFonts w:ascii="Times New Roman" w:hAnsi="Times New Roman" w:cs="Times New Roman"/>
          <w:color w:val="auto"/>
          <w:sz w:val="24"/>
          <w:highlight w:val="none"/>
        </w:rPr>
      </w:pPr>
      <w:r>
        <w:rPr>
          <w:rFonts w:hint="eastAsia" w:ascii="Times New Roman" w:hAnsi="Times New Roman" w:cs="Times New Roman"/>
          <w:color w:val="auto"/>
          <w:sz w:val="24"/>
          <w:highlight w:val="none"/>
          <w:lang w:eastAsia="zh-CN"/>
        </w:rPr>
        <w:t>CHCNAV</w:t>
      </w:r>
      <w:r>
        <w:rPr>
          <w:rFonts w:hint="eastAsia" w:ascii="Times New Roman" w:hAnsi="Times New Roman" w:cs="Times New Roman"/>
          <w:color w:val="auto"/>
          <w:sz w:val="24"/>
          <w:highlight w:val="none"/>
        </w:rPr>
        <w:t xml:space="preserve"> only employs sub-processors that process personal data on </w:t>
      </w:r>
      <w:r>
        <w:rPr>
          <w:rFonts w:hint="eastAsia" w:ascii="Times New Roman" w:hAnsi="Times New Roman" w:cs="Times New Roman"/>
          <w:color w:val="auto"/>
          <w:sz w:val="24"/>
          <w:highlight w:val="none"/>
          <w:lang w:eastAsia="zh-CN"/>
        </w:rPr>
        <w:t>CHCNAV</w:t>
      </w:r>
      <w:r>
        <w:rPr>
          <w:rFonts w:hint="eastAsia" w:ascii="Times New Roman" w:hAnsi="Times New Roman" w:cs="Times New Roman"/>
          <w:color w:val="auto"/>
          <w:sz w:val="24"/>
          <w:highlight w:val="none"/>
        </w:rPr>
        <w:t xml:space="preserve">'s behalf as part of applicable subscription services in compliance with applicable data protection laws. </w:t>
      </w:r>
      <w:r>
        <w:rPr>
          <w:rFonts w:hint="eastAsia" w:ascii="Times New Roman" w:hAnsi="Times New Roman" w:cs="Times New Roman"/>
          <w:color w:val="auto"/>
          <w:sz w:val="24"/>
          <w:highlight w:val="none"/>
          <w:lang w:eastAsia="zh-CN"/>
        </w:rPr>
        <w:t>CHCNAV</w:t>
      </w:r>
      <w:r>
        <w:rPr>
          <w:rFonts w:hint="eastAsia" w:ascii="Times New Roman" w:hAnsi="Times New Roman" w:cs="Times New Roman"/>
          <w:color w:val="auto"/>
          <w:sz w:val="24"/>
          <w:highlight w:val="none"/>
        </w:rPr>
        <w:t xml:space="preserve"> also verifies before choosing a sub-processor and transferring any data the sub-processor's technical and organizational measures to ensure a level of security appropriate to the risk of its customers data processing. </w:t>
      </w:r>
      <w:r>
        <w:rPr>
          <w:rFonts w:hint="eastAsia" w:ascii="Times New Roman" w:hAnsi="Times New Roman" w:cs="Times New Roman"/>
          <w:color w:val="auto"/>
          <w:sz w:val="24"/>
          <w:highlight w:val="none"/>
          <w:lang w:eastAsia="zh-CN"/>
        </w:rPr>
        <w:t>CHCNAV</w:t>
      </w:r>
      <w:r>
        <w:rPr>
          <w:rFonts w:hint="eastAsia" w:ascii="Times New Roman" w:hAnsi="Times New Roman" w:cs="Times New Roman"/>
          <w:color w:val="auto"/>
          <w:sz w:val="24"/>
          <w:highlight w:val="none"/>
        </w:rPr>
        <w:t xml:space="preserve"> also takes reasonable measures to ensure security of the transfers of Customer Data to third party Sub-processors. At a minimum, such measures include identifying the risks to Customer and Data Subject rights based upon nature, scope and context of processing; reviewing the security and data protection controls implemented by the Sub-processor to protect Customer Data (including SOC 2 Type Il audit reports and/or ISO 27001 certificates as applicable); imposing data protection contractual terms that protect personal data to the same or similar standard </w:t>
      </w:r>
      <w:r>
        <w:rPr>
          <w:rFonts w:hint="eastAsia" w:ascii="Times New Roman" w:hAnsi="Times New Roman" w:cs="Times New Roman"/>
          <w:color w:val="auto"/>
          <w:sz w:val="24"/>
          <w:highlight w:val="none"/>
          <w:lang w:eastAsia="zh-CN"/>
        </w:rPr>
        <w:t>CHCNAV</w:t>
      </w:r>
      <w:r>
        <w:rPr>
          <w:rFonts w:hint="eastAsia" w:ascii="Times New Roman" w:hAnsi="Times New Roman" w:cs="Times New Roman"/>
          <w:color w:val="auto"/>
          <w:sz w:val="24"/>
          <w:highlight w:val="none"/>
        </w:rPr>
        <w:t xml:space="preserve"> is obligated to provide its customers (including valid cross border transfer mechanisms, sub-processor management, and compliance programs); requiring the Sub-processor to only process Customer Data on behalf of </w:t>
      </w:r>
      <w:r>
        <w:rPr>
          <w:rFonts w:hint="eastAsia" w:ascii="Times New Roman" w:hAnsi="Times New Roman" w:cs="Times New Roman"/>
          <w:color w:val="auto"/>
          <w:sz w:val="24"/>
          <w:highlight w:val="none"/>
          <w:lang w:eastAsia="zh-CN"/>
        </w:rPr>
        <w:t>CHCNAV</w:t>
      </w:r>
      <w:r>
        <w:rPr>
          <w:rFonts w:hint="eastAsia" w:ascii="Times New Roman" w:hAnsi="Times New Roman" w:cs="Times New Roman"/>
          <w:color w:val="auto"/>
          <w:sz w:val="24"/>
          <w:highlight w:val="none"/>
        </w:rPr>
        <w:t xml:space="preserve"> and its customers and, limiting its processing of Customer Data to the scope of </w:t>
      </w:r>
      <w:r>
        <w:rPr>
          <w:rFonts w:hint="eastAsia" w:ascii="Times New Roman" w:hAnsi="Times New Roman" w:cs="Times New Roman"/>
          <w:color w:val="auto"/>
          <w:sz w:val="24"/>
          <w:highlight w:val="none"/>
          <w:lang w:eastAsia="zh-CN"/>
        </w:rPr>
        <w:t>CHCNAV</w:t>
      </w:r>
      <w:r>
        <w:rPr>
          <w:rFonts w:hint="eastAsia" w:ascii="Times New Roman" w:hAnsi="Times New Roman" w:cs="Times New Roman"/>
          <w:color w:val="auto"/>
          <w:sz w:val="24"/>
          <w:highlight w:val="none"/>
        </w:rPr>
        <w:t>'s instructions.</w:t>
      </w:r>
    </w:p>
    <w:p w14:paraId="595A5AA4">
      <w:pPr>
        <w:spacing w:line="360" w:lineRule="auto"/>
        <w:rPr>
          <w:rFonts w:ascii="Times New Roman" w:hAnsi="Times New Roman" w:cs="Times New Roman"/>
          <w:color w:val="auto"/>
          <w:sz w:val="24"/>
          <w:highlight w:val="none"/>
        </w:rPr>
      </w:pPr>
    </w:p>
    <w:p w14:paraId="2AD6EDE8">
      <w:pPr>
        <w:keepNext w:val="0"/>
        <w:keepLines w:val="0"/>
        <w:pageBreakBefore w:val="0"/>
        <w:widowControl/>
        <w:suppressLineNumbers w:val="0"/>
        <w:pBdr>
          <w:top w:val="single" w:color="DEE8EC" w:sz="4" w:space="0"/>
          <w:left w:val="none" w:color="DEE8EC" w:sz="0" w:space="0"/>
          <w:bottom w:val="none" w:color="DEE8EC" w:sz="0" w:space="0"/>
          <w:right w:val="none" w:color="DEE8EC" w:sz="0" w:space="0"/>
        </w:pBdr>
        <w:tabs>
          <w:tab w:val="left" w:pos="420"/>
        </w:tabs>
        <w:kinsoku/>
        <w:wordWrap/>
        <w:overflowPunct/>
        <w:topLinePunct w:val="0"/>
        <w:autoSpaceDE/>
        <w:autoSpaceDN/>
        <w:bidi w:val="0"/>
        <w:adjustRightInd/>
        <w:snapToGrid/>
        <w:spacing w:before="80" w:beforeAutospacing="0" w:after="80" w:afterAutospacing="0"/>
        <w:jc w:val="center"/>
        <w:textAlignment w:val="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pict>
          <v:rect id="_x0000_i1028" o:spt="1" style="height:1.5pt;width:68pt;" fillcolor="#000000" filled="t" stroked="f" coordsize="21600,21600" o:hr="t" o:hrstd="t" o:hrnoshade="t" o:hrpct="0" o:hralign="center">
            <v:path/>
            <v:fill on="t" focussize="0,0"/>
            <v:stroke on="f"/>
            <v:imagedata o:title=""/>
            <o:lock v:ext="edit"/>
            <w10:wrap type="none"/>
            <w10:anchorlock/>
          </v:rect>
        </w:pict>
      </w:r>
    </w:p>
    <w:p w14:paraId="40E83EEA">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center"/>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ANNEX III</w:t>
      </w:r>
    </w:p>
    <w:p w14:paraId="4945335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160" w:beforeAutospacing="0" w:after="80" w:afterAutospacing="0"/>
        <w:ind w:left="0" w:right="0"/>
        <w:jc w:val="both"/>
        <w:textAlignment w:val="auto"/>
        <w:rPr>
          <w:rFonts w:hint="default" w:ascii="Times New Roman" w:hAnsi="Times New Roman" w:cs="Times New Roman"/>
          <w:b/>
          <w:bCs/>
          <w:sz w:val="24"/>
          <w:szCs w:val="24"/>
        </w:rPr>
      </w:pPr>
      <w:r>
        <w:rPr>
          <w:rFonts w:hint="default" w:ascii="Times New Roman" w:hAnsi="Times New Roman" w:cs="Times New Roman"/>
          <w:b/>
          <w:bCs/>
          <w:i w:val="0"/>
          <w:iCs w:val="0"/>
          <w:caps w:val="0"/>
          <w:color w:val="000000"/>
          <w:spacing w:val="0"/>
          <w:sz w:val="24"/>
          <w:szCs w:val="24"/>
          <w:shd w:val="clear" w:fill="FFFFFF"/>
        </w:rPr>
        <w:t>LIST OF SUB-PROCESSORS</w:t>
      </w:r>
    </w:p>
    <w:p w14:paraId="1A4111FC">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b/>
          <w:bCs/>
          <w:i w:val="0"/>
          <w:iCs w:val="0"/>
          <w:caps w:val="0"/>
          <w:color w:val="000000"/>
          <w:spacing w:val="0"/>
          <w:sz w:val="24"/>
          <w:szCs w:val="24"/>
          <w:shd w:val="clear" w:fill="FFFFFF"/>
        </w:rPr>
        <w:t>MODULE TWO: Transfer controller to processor</w:t>
      </w:r>
    </w:p>
    <w:p w14:paraId="453EC78E">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b/>
          <w:bCs/>
          <w:i w:val="0"/>
          <w:iCs w:val="0"/>
          <w:caps w:val="0"/>
          <w:color w:val="000000"/>
          <w:spacing w:val="0"/>
          <w:sz w:val="24"/>
          <w:szCs w:val="24"/>
          <w:shd w:val="clear" w:fill="FFFFFF"/>
        </w:rPr>
        <w:t>MODULE THREE: Transfer processor to processor</w:t>
      </w:r>
    </w:p>
    <w:p w14:paraId="6F0B9B66">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EXPLANATORY NOTE:</w:t>
      </w:r>
    </w:p>
    <w:p w14:paraId="02852CF5">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This Annex must be completed for Modules Two and Three, in case of the specific authorisation of sub-processors (Clause 9(a), Option 1).</w:t>
      </w:r>
    </w:p>
    <w:p w14:paraId="3E59CFAB">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i w:val="0"/>
          <w:iCs w:val="0"/>
          <w:caps w:val="0"/>
          <w:color w:val="000000"/>
          <w:spacing w:val="0"/>
          <w:sz w:val="24"/>
          <w:szCs w:val="24"/>
          <w:shd w:val="clear" w:fill="FFFFFF"/>
        </w:rPr>
        <w:t>The controller has authorised the use of the following sub-processors:</w:t>
      </w:r>
    </w:p>
    <w:p w14:paraId="6B37E7DB">
      <w:pPr>
        <w:keepNext w:val="0"/>
        <w:keepLines w:val="0"/>
        <w:pageBreakBefore w:val="0"/>
        <w:widowControl/>
        <w:suppressLineNumbers w:val="0"/>
        <w:tabs>
          <w:tab w:val="left" w:pos="6"/>
          <w:tab w:val="left" w:pos="166"/>
          <w:tab w:val="left" w:pos="420"/>
        </w:tabs>
        <w:kinsoku/>
        <w:wordWrap/>
        <w:overflowPunct/>
        <w:topLinePunct w:val="0"/>
        <w:autoSpaceDE/>
        <w:autoSpaceDN/>
        <w:bidi w:val="0"/>
        <w:adjustRightInd/>
        <w:snapToGrid/>
        <w:jc w:val="left"/>
        <w:textAlignment w:val="auto"/>
        <w:rPr>
          <w:rFonts w:hint="default" w:ascii="Times New Roman" w:hAnsi="Times New Roman" w:cs="Times New Roman"/>
          <w:sz w:val="24"/>
          <w:szCs w:val="24"/>
        </w:rPr>
      </w:pPr>
      <w:r>
        <w:rPr>
          <w:rFonts w:hint="default" w:ascii="Times New Roman" w:hAnsi="Times New Roman" w:cs="Times New Roman"/>
          <w:sz w:val="24"/>
          <w:szCs w:val="24"/>
        </w:rPr>
        <w:tab/>
      </w:r>
      <w:r>
        <w:rPr>
          <w:rFonts w:hint="default" w:ascii="Times New Roman" w:hAnsi="Times New Roman" w:cs="Times New Roman"/>
          <w:sz w:val="24"/>
          <w:szCs w:val="24"/>
        </w:rPr>
        <w:t>1</w:t>
      </w:r>
      <w:r>
        <w:rPr>
          <w:rFonts w:hint="default" w:ascii="Times New Roman" w:hAnsi="Times New Roman" w:cs="Times New Roman"/>
          <w:sz w:val="24"/>
          <w:szCs w:val="24"/>
        </w:rPr>
        <w:t>.</w:t>
      </w:r>
      <w:r>
        <w:rPr>
          <w:rFonts w:hint="default" w:ascii="Times New Roman" w:hAnsi="Times New Roman" w:cs="Times New Roman"/>
          <w:sz w:val="24"/>
          <w:szCs w:val="24"/>
        </w:rPr>
        <w:tab/>
      </w:r>
      <w:r>
        <w:rPr>
          <w:rFonts w:hint="default" w:ascii="Times New Roman" w:hAnsi="Times New Roman" w:eastAsia="宋体" w:cs="Times New Roman"/>
          <w:kern w:val="0"/>
          <w:sz w:val="24"/>
          <w:szCs w:val="24"/>
          <w:lang w:val="en-US" w:eastAsia="zh-CN" w:bidi="ar"/>
        </w:rPr>
        <w:t xml:space="preserve">Name: </w:t>
      </w:r>
      <w:r>
        <w:rPr>
          <w:rStyle w:val="8"/>
          <w:rFonts w:hint="default" w:ascii="Times New Roman" w:hAnsi="Times New Roman" w:eastAsia="Helvetica" w:cs="Times New Roman"/>
          <w:b w:val="0"/>
          <w:bCs w:val="0"/>
          <w:i w:val="0"/>
          <w:iCs w:val="0"/>
          <w:caps w:val="0"/>
          <w:color w:val="auto"/>
          <w:spacing w:val="0"/>
          <w:sz w:val="24"/>
          <w:szCs w:val="24"/>
          <w:shd w:val="clear" w:fill="FFFFFF"/>
          <w:vertAlign w:val="baseline"/>
          <w:lang w:val="en-US" w:eastAsia="zh-CN"/>
        </w:rPr>
        <w:t>CHC Navigation Europe Kft.</w:t>
      </w:r>
    </w:p>
    <w:p w14:paraId="4070E36F">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Address: </w:t>
      </w:r>
      <w:r>
        <w:rPr>
          <w:rStyle w:val="8"/>
          <w:rFonts w:hint="default" w:ascii="Times New Roman" w:hAnsi="Times New Roman" w:eastAsia="Helvetica" w:cs="Times New Roman"/>
          <w:b w:val="0"/>
          <w:bCs w:val="0"/>
          <w:i w:val="0"/>
          <w:iCs w:val="0"/>
          <w:caps w:val="0"/>
          <w:color w:val="auto"/>
          <w:spacing w:val="0"/>
          <w:sz w:val="24"/>
          <w:szCs w:val="24"/>
          <w:shd w:val="clear" w:fill="FFFFFF"/>
          <w:vertAlign w:val="baseline"/>
          <w:lang w:val="en-US" w:eastAsia="zh-CN"/>
        </w:rPr>
        <w:t>1117 Budapest, Neumann János utca 1.</w:t>
      </w:r>
    </w:p>
    <w:p w14:paraId="68AA64D4">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Contact person’s name, position and contact details: </w:t>
      </w:r>
      <w:r>
        <w:rPr>
          <w:rFonts w:hint="eastAsia" w:ascii="Times New Roman" w:hAnsi="Times New Roman" w:cs="Times New Roman"/>
          <w:sz w:val="24"/>
          <w:szCs w:val="24"/>
          <w:lang w:val="en-US" w:eastAsia="zh-CN"/>
        </w:rPr>
        <w:t xml:space="preserve">Data Compliace Team, datacompliance@huace.cn. </w:t>
      </w:r>
    </w:p>
    <w:p w14:paraId="4E7C6FF8">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Description of processing (including a clear delimitation of responsibilities in case several sub-processors are authorised): …</w:t>
      </w:r>
    </w:p>
    <w:p w14:paraId="14F4A495">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vanish/>
          <w:sz w:val="24"/>
          <w:szCs w:val="24"/>
        </w:rPr>
      </w:pPr>
    </w:p>
    <w:p w14:paraId="5A50AFC6">
      <w:pPr>
        <w:keepNext w:val="0"/>
        <w:keepLines w:val="0"/>
        <w:pageBreakBefore w:val="0"/>
        <w:widowControl/>
        <w:numPr>
          <w:numId w:val="0"/>
        </w:numPr>
        <w:suppressLineNumbers w:val="0"/>
        <w:tabs>
          <w:tab w:val="left" w:pos="6"/>
          <w:tab w:val="left" w:pos="166"/>
          <w:tab w:val="left" w:pos="420"/>
        </w:tabs>
        <w:kinsoku/>
        <w:wordWrap/>
        <w:overflowPunct/>
        <w:topLinePunct w:val="0"/>
        <w:autoSpaceDE/>
        <w:autoSpaceDN/>
        <w:bidi w:val="0"/>
        <w:adjustRightInd/>
        <w:snapToGrid/>
        <w:jc w:val="left"/>
        <w:textAlignment w:val="auto"/>
        <w:rPr>
          <w:rFonts w:hint="default" w:ascii="Times New Roman" w:hAnsi="Times New Roman" w:cs="Times New Roman"/>
          <w:sz w:val="24"/>
          <w:szCs w:val="24"/>
        </w:rPr>
      </w:pPr>
      <w:r>
        <w:rPr>
          <w:rFonts w:hint="eastAsia" w:ascii="Times New Roman" w:hAnsi="Times New Roman" w:cs="Times New Roman"/>
          <w:sz w:val="24"/>
          <w:szCs w:val="24"/>
          <w:lang w:val="en-US" w:eastAsia="zh-CN"/>
        </w:rPr>
        <w:t>2.</w:t>
      </w:r>
      <w:r>
        <w:rPr>
          <w:rFonts w:hint="default" w:ascii="Times New Roman" w:hAnsi="Times New Roman" w:cs="Times New Roman"/>
          <w:sz w:val="24"/>
          <w:szCs w:val="24"/>
        </w:rPr>
        <w:tab/>
      </w:r>
      <w:r>
        <w:rPr>
          <w:rFonts w:hint="default" w:ascii="Times New Roman" w:hAnsi="Times New Roman" w:eastAsia="宋体" w:cs="Times New Roman"/>
          <w:kern w:val="0"/>
          <w:sz w:val="24"/>
          <w:szCs w:val="24"/>
          <w:lang w:val="en-US" w:eastAsia="zh-CN" w:bidi="ar"/>
        </w:rPr>
        <w:t>Name:</w:t>
      </w:r>
      <w:r>
        <w:rPr>
          <w:rStyle w:val="8"/>
          <w:rFonts w:hint="default" w:ascii="Times New Roman" w:hAnsi="Times New Roman" w:eastAsia="Helvetica" w:cs="Times New Roman"/>
          <w:b w:val="0"/>
          <w:bCs w:val="0"/>
          <w:i w:val="0"/>
          <w:iCs w:val="0"/>
          <w:caps w:val="0"/>
          <w:color w:val="auto"/>
          <w:spacing w:val="0"/>
          <w:sz w:val="24"/>
          <w:szCs w:val="24"/>
        </w:rPr>
        <w:t>CHCNAV SINGAPORE PTE. LTD.</w:t>
      </w:r>
    </w:p>
    <w:p w14:paraId="14AFAE6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100" w:beforeAutospacing="0" w:after="100" w:afterAutospacing="0" w:line="17" w:lineRule="atLeast"/>
        <w:ind w:left="0" w:leftChars="0" w:right="0" w:rightChars="0" w:firstLine="0" w:firstLineChars="0"/>
        <w:jc w:val="left"/>
        <w:rPr>
          <w:rStyle w:val="8"/>
          <w:rFonts w:hint="default" w:ascii="Times New Roman" w:hAnsi="Times New Roman" w:eastAsia="Helvetica" w:cs="Times New Roman"/>
          <w:b w:val="0"/>
          <w:bCs w:val="0"/>
          <w:i w:val="0"/>
          <w:iCs w:val="0"/>
          <w:caps w:val="0"/>
          <w:color w:val="auto"/>
          <w:spacing w:val="0"/>
          <w:sz w:val="24"/>
          <w:szCs w:val="24"/>
          <w:shd w:val="clear" w:fill="FFFFFF"/>
          <w:vertAlign w:val="baseline"/>
          <w:lang w:val="en-US" w:eastAsia="zh-CN"/>
        </w:rPr>
      </w:pPr>
      <w:r>
        <w:rPr>
          <w:rFonts w:hint="default" w:ascii="Times New Roman" w:hAnsi="Times New Roman" w:cs="Times New Roman"/>
          <w:sz w:val="24"/>
          <w:szCs w:val="24"/>
        </w:rPr>
        <w:t>Address:</w:t>
      </w:r>
      <w:r>
        <w:rPr>
          <w:rStyle w:val="8"/>
          <w:rFonts w:hint="default" w:ascii="Times New Roman" w:hAnsi="Times New Roman" w:eastAsia="Helvetica" w:cs="Times New Roman"/>
          <w:b w:val="0"/>
          <w:bCs w:val="0"/>
          <w:i w:val="0"/>
          <w:iCs w:val="0"/>
          <w:caps w:val="0"/>
          <w:color w:val="auto"/>
          <w:spacing w:val="0"/>
          <w:sz w:val="24"/>
          <w:szCs w:val="24"/>
          <w:shd w:val="clear" w:fill="FFFFFF"/>
          <w:vertAlign w:val="baseline"/>
          <w:lang w:val="en-US" w:eastAsia="zh-CN"/>
        </w:rPr>
        <w:t xml:space="preserve">38 BEACH ROAD #29-11 SOUTH BEACH TOWER </w:t>
      </w:r>
      <w:r>
        <w:rPr>
          <w:rStyle w:val="8"/>
          <w:rFonts w:hint="eastAsia" w:ascii="Times New Roman" w:hAnsi="Times New Roman" w:eastAsia="Helvetica" w:cs="Times New Roman"/>
          <w:b w:val="0"/>
          <w:bCs w:val="0"/>
          <w:i w:val="0"/>
          <w:iCs w:val="0"/>
          <w:caps w:val="0"/>
          <w:color w:val="auto"/>
          <w:spacing w:val="0"/>
          <w:sz w:val="24"/>
          <w:szCs w:val="24"/>
          <w:shd w:val="clear" w:fill="FFFFFF"/>
          <w:vertAlign w:val="baseline"/>
          <w:lang w:val="en-US" w:eastAsia="zh-CN"/>
        </w:rPr>
        <w:t>S</w:t>
      </w:r>
      <w:r>
        <w:rPr>
          <w:rStyle w:val="8"/>
          <w:rFonts w:hint="default" w:ascii="Times New Roman" w:hAnsi="Times New Roman" w:eastAsia="Helvetica" w:cs="Times New Roman"/>
          <w:b w:val="0"/>
          <w:bCs w:val="0"/>
          <w:i w:val="0"/>
          <w:iCs w:val="0"/>
          <w:caps w:val="0"/>
          <w:color w:val="auto"/>
          <w:spacing w:val="0"/>
          <w:sz w:val="24"/>
          <w:szCs w:val="24"/>
          <w:shd w:val="clear" w:fill="FFFFFF"/>
          <w:vertAlign w:val="baseline"/>
          <w:lang w:val="en-US" w:eastAsia="zh-CN"/>
        </w:rPr>
        <w:t>INGAPORE(189767)</w:t>
      </w:r>
    </w:p>
    <w:p w14:paraId="06B10D1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pPr>
      <w:r>
        <w:rPr>
          <w:rFonts w:hint="default" w:ascii="Times New Roman" w:hAnsi="Times New Roman" w:cs="Times New Roman"/>
          <w:sz w:val="24"/>
          <w:szCs w:val="24"/>
        </w:rPr>
        <w:t>Contact person’s name, position and contact details:</w:t>
      </w:r>
      <w:r>
        <w:rPr>
          <w:rFonts w:hint="eastAsia" w:ascii="Times New Roman" w:hAnsi="Times New Roman" w:cs="Times New Roman"/>
          <w:sz w:val="24"/>
          <w:szCs w:val="24"/>
          <w:lang w:val="en-US" w:eastAsia="zh-CN"/>
        </w:rPr>
        <w:t xml:space="preserve">Data Compliace Team, datacompliance@huace.cn. </w:t>
      </w:r>
    </w:p>
    <w:p w14:paraId="3CDFBAE1">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rPr>
      </w:pPr>
      <w:r>
        <w:rPr>
          <w:rFonts w:hint="default" w:ascii="Times New Roman" w:hAnsi="Times New Roman" w:cs="Times New Roman"/>
          <w:sz w:val="24"/>
          <w:szCs w:val="24"/>
        </w:rPr>
        <w:t>Description of processing (including a clear delimitation of responsibilities in case several sub-processors are authorised): …</w:t>
      </w:r>
    </w:p>
    <w:p w14:paraId="7BE200F7">
      <w:pPr>
        <w:keepNext w:val="0"/>
        <w:keepLines w:val="0"/>
        <w:pageBreakBefore w:val="0"/>
        <w:widowControl/>
        <w:suppressLineNumbers w:val="0"/>
        <w:tabs>
          <w:tab w:val="left" w:pos="6"/>
          <w:tab w:val="left" w:pos="166"/>
          <w:tab w:val="left" w:pos="420"/>
        </w:tabs>
        <w:kinsoku/>
        <w:wordWrap/>
        <w:overflowPunct/>
        <w:topLinePunct w:val="0"/>
        <w:autoSpaceDE/>
        <w:autoSpaceDN/>
        <w:bidi w:val="0"/>
        <w:adjustRightInd/>
        <w:snapToGrid/>
        <w:jc w:val="left"/>
        <w:textAlignment w:val="auto"/>
        <w:rPr>
          <w:rFonts w:hint="default" w:ascii="Times New Roman" w:hAnsi="Times New Roman" w:cs="Times New Roman"/>
          <w:sz w:val="24"/>
          <w:szCs w:val="24"/>
        </w:rPr>
      </w:pPr>
      <w:r>
        <w:rPr>
          <w:rFonts w:hint="default" w:ascii="Times New Roman" w:hAnsi="Times New Roman" w:cs="Times New Roman"/>
          <w:sz w:val="24"/>
          <w:szCs w:val="24"/>
        </w:rPr>
        <w:tab/>
      </w:r>
      <w:r>
        <w:rPr>
          <w:rFonts w:hint="eastAsia" w:ascii="Times New Roman" w:hAnsi="Times New Roman" w:cs="Times New Roman"/>
          <w:sz w:val="24"/>
          <w:szCs w:val="24"/>
          <w:lang w:val="en-US" w:eastAsia="zh-CN"/>
        </w:rPr>
        <w:t>3</w:t>
      </w:r>
      <w:r>
        <w:rPr>
          <w:rFonts w:hint="default" w:ascii="Times New Roman" w:hAnsi="Times New Roman" w:cs="Times New Roman"/>
          <w:sz w:val="24"/>
          <w:szCs w:val="24"/>
        </w:rPr>
        <w:t>.</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eastAsia="宋体" w:cs="Times New Roman"/>
          <w:kern w:val="0"/>
          <w:sz w:val="24"/>
          <w:szCs w:val="24"/>
          <w:lang w:val="en-US" w:eastAsia="zh-CN" w:bidi="ar"/>
        </w:rPr>
        <w:t xml:space="preserve">Name: </w:t>
      </w:r>
      <w:r>
        <w:rPr>
          <w:rStyle w:val="8"/>
          <w:rFonts w:hint="default" w:ascii="Times New Roman" w:hAnsi="Times New Roman" w:eastAsia="Helvetica" w:cs="Times New Roman"/>
          <w:b w:val="0"/>
          <w:bCs w:val="0"/>
          <w:i w:val="0"/>
          <w:iCs w:val="0"/>
          <w:caps w:val="0"/>
          <w:color w:val="auto"/>
          <w:spacing w:val="0"/>
          <w:sz w:val="24"/>
          <w:szCs w:val="24"/>
          <w:shd w:val="clear" w:fill="FFFFFF"/>
          <w:vertAlign w:val="baseline"/>
          <w:lang w:val="en-US" w:eastAsia="zh-CN"/>
        </w:rPr>
        <w:t xml:space="preserve"> Sparkoo Technologies Ireland Co. Limited, a private company limited by shares.</w:t>
      </w:r>
    </w:p>
    <w:p w14:paraId="149BF442">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Address: </w:t>
      </w:r>
      <w:r>
        <w:rPr>
          <w:rStyle w:val="8"/>
          <w:rFonts w:hint="default" w:ascii="Times New Roman" w:hAnsi="Times New Roman" w:eastAsia="Helvetica" w:cs="Times New Roman"/>
          <w:b w:val="0"/>
          <w:bCs w:val="0"/>
          <w:i w:val="0"/>
          <w:iCs w:val="0"/>
          <w:caps w:val="0"/>
          <w:color w:val="auto"/>
          <w:spacing w:val="0"/>
          <w:sz w:val="24"/>
          <w:szCs w:val="24"/>
          <w:shd w:val="clear" w:fill="FFFFFF"/>
          <w:vertAlign w:val="baseline"/>
          <w:lang w:val="en-US" w:eastAsia="zh-CN"/>
        </w:rPr>
        <w:t xml:space="preserve"> 2nd Floor, Mespil Court, Mespil Road, Ballsbridge, Dublin 4, D04 E516, Ireland</w:t>
      </w:r>
    </w:p>
    <w:p w14:paraId="1C986511">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Contact person’s name, position and contact details: </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HYPERLINK "mailto:eucloud@huaweicloud.com" </w:instrText>
      </w:r>
      <w:r>
        <w:rPr>
          <w:rFonts w:hint="default" w:ascii="Times New Roman" w:hAnsi="Times New Roman" w:cs="Times New Roman"/>
          <w:sz w:val="24"/>
          <w:szCs w:val="24"/>
        </w:rPr>
        <w:fldChar w:fldCharType="separate"/>
      </w:r>
      <w:r>
        <w:rPr>
          <w:rStyle w:val="10"/>
          <w:rFonts w:hint="default" w:ascii="Times New Roman" w:hAnsi="Times New Roman" w:cs="Times New Roman"/>
          <w:sz w:val="24"/>
          <w:szCs w:val="24"/>
        </w:rPr>
        <w:t>eucloud@huaweicloud.com</w:t>
      </w:r>
      <w:r>
        <w:rPr>
          <w:rFonts w:hint="default" w:ascii="Times New Roman" w:hAnsi="Times New Roman" w:cs="Times New Roman"/>
          <w:sz w:val="24"/>
          <w:szCs w:val="24"/>
        </w:rPr>
        <w:fldChar w:fldCharType="end"/>
      </w:r>
    </w:p>
    <w:p w14:paraId="4EBA7A49">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rPr>
        <w:t>Description of processing (including a clear delimitation of responsibilities in case several sub-processors</w:t>
      </w:r>
      <w:bookmarkStart w:id="1" w:name="_GoBack"/>
      <w:bookmarkEnd w:id="1"/>
      <w:r>
        <w:rPr>
          <w:rFonts w:hint="default" w:ascii="Times New Roman" w:hAnsi="Times New Roman" w:cs="Times New Roman"/>
          <w:sz w:val="24"/>
          <w:szCs w:val="24"/>
        </w:rPr>
        <w:t xml:space="preserve"> are authorised):</w:t>
      </w:r>
      <w:r>
        <w:rPr>
          <w:rFonts w:hint="eastAsia" w:ascii="Times New Roman" w:hAnsi="Times New Roman" w:cs="Times New Roman"/>
          <w:sz w:val="24"/>
          <w:szCs w:val="24"/>
          <w:lang w:val="en-US" w:eastAsia="zh-CN"/>
        </w:rPr>
        <w:t xml:space="preserve"> Infrastructure as a Service.</w:t>
      </w:r>
    </w:p>
    <w:p w14:paraId="08927E7F">
      <w:pPr>
        <w:keepNext w:val="0"/>
        <w:keepLines w:val="0"/>
        <w:pageBreakBefore w:val="0"/>
        <w:widowControl/>
        <w:suppressLineNumbers w:val="0"/>
        <w:tabs>
          <w:tab w:val="left" w:pos="6"/>
          <w:tab w:val="left" w:pos="166"/>
          <w:tab w:val="left" w:pos="420"/>
        </w:tabs>
        <w:kinsoku/>
        <w:wordWrap/>
        <w:overflowPunct/>
        <w:topLinePunct w:val="0"/>
        <w:autoSpaceDE/>
        <w:autoSpaceDN/>
        <w:bidi w:val="0"/>
        <w:adjustRightInd/>
        <w:snapToGrid/>
        <w:jc w:val="left"/>
        <w:textAlignment w:val="auto"/>
        <w:rPr>
          <w:rFonts w:hint="default" w:ascii="Times New Roman" w:hAnsi="Times New Roman" w:cs="Times New Roman"/>
          <w:sz w:val="24"/>
          <w:szCs w:val="24"/>
          <w:lang w:val="en-US"/>
        </w:rPr>
      </w:pPr>
      <w:r>
        <w:rPr>
          <w:rFonts w:hint="default" w:ascii="Times New Roman" w:hAnsi="Times New Roman" w:cs="Times New Roman"/>
          <w:sz w:val="24"/>
          <w:szCs w:val="24"/>
        </w:rPr>
        <w:tab/>
      </w:r>
      <w:r>
        <w:rPr>
          <w:rFonts w:hint="eastAsia" w:ascii="Times New Roman" w:hAnsi="Times New Roman" w:cs="Times New Roman"/>
          <w:sz w:val="24"/>
          <w:szCs w:val="24"/>
          <w:lang w:val="en-US" w:eastAsia="zh-CN"/>
        </w:rPr>
        <w:t>4</w:t>
      </w:r>
      <w:r>
        <w:rPr>
          <w:rFonts w:hint="default" w:ascii="Times New Roman" w:hAnsi="Times New Roman" w:cs="Times New Roman"/>
          <w:sz w:val="24"/>
          <w:szCs w:val="24"/>
        </w:rPr>
        <w:t>.</w:t>
      </w:r>
      <w:r>
        <w:rPr>
          <w:rFonts w:hint="default" w:ascii="Times New Roman" w:hAnsi="Times New Roman" w:cs="Times New Roman"/>
          <w:sz w:val="24"/>
          <w:szCs w:val="24"/>
        </w:rPr>
        <w:tab/>
      </w:r>
      <w:r>
        <w:rPr>
          <w:rFonts w:hint="default" w:ascii="Times New Roman" w:hAnsi="Times New Roman" w:cs="Times New Roman"/>
          <w:sz w:val="24"/>
          <w:szCs w:val="24"/>
        </w:rPr>
        <w:tab/>
      </w:r>
      <w:r>
        <w:rPr>
          <w:rFonts w:hint="default" w:ascii="Times New Roman" w:hAnsi="Times New Roman" w:eastAsia="宋体" w:cs="Times New Roman"/>
          <w:kern w:val="0"/>
          <w:sz w:val="24"/>
          <w:szCs w:val="24"/>
          <w:lang w:val="en-US" w:eastAsia="zh-CN" w:bidi="ar"/>
        </w:rPr>
        <w:t xml:space="preserve">Name: </w:t>
      </w:r>
      <w:r>
        <w:rPr>
          <w:rStyle w:val="8"/>
          <w:rFonts w:hint="default" w:ascii="Times New Roman" w:hAnsi="Times New Roman" w:eastAsia="Helvetica" w:cs="Times New Roman"/>
          <w:b w:val="0"/>
          <w:bCs w:val="0"/>
          <w:i w:val="0"/>
          <w:iCs w:val="0"/>
          <w:caps w:val="0"/>
          <w:color w:val="auto"/>
          <w:spacing w:val="0"/>
          <w:sz w:val="24"/>
          <w:szCs w:val="24"/>
          <w:shd w:val="clear" w:fill="FFFFFF"/>
          <w:vertAlign w:val="baseline"/>
          <w:lang w:val="en-US" w:eastAsia="zh-CN"/>
        </w:rPr>
        <w:t xml:space="preserve"> </w:t>
      </w:r>
      <w:r>
        <w:rPr>
          <w:rStyle w:val="8"/>
          <w:rFonts w:hint="eastAsia" w:ascii="Times New Roman" w:hAnsi="Times New Roman" w:eastAsia="Helvetica" w:cs="Times New Roman"/>
          <w:b w:val="0"/>
          <w:bCs w:val="0"/>
          <w:i w:val="0"/>
          <w:iCs w:val="0"/>
          <w:caps w:val="0"/>
          <w:color w:val="auto"/>
          <w:spacing w:val="0"/>
          <w:sz w:val="24"/>
          <w:szCs w:val="24"/>
          <w:shd w:val="clear" w:fill="FFFFFF"/>
          <w:vertAlign w:val="baseline"/>
          <w:lang w:val="en-US" w:eastAsia="zh-CN"/>
        </w:rPr>
        <w:t>CHCNAV Authorized Resellers</w:t>
      </w:r>
    </w:p>
    <w:p w14:paraId="51F0C21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17" w:lineRule="atLeast"/>
        <w:ind w:left="0" w:right="0"/>
        <w:jc w:val="both"/>
        <w:textAlignment w:val="auto"/>
        <w:rPr>
          <w:rFonts w:hint="default" w:ascii="Times New Roman" w:hAnsi="Times New Roman" w:cs="Times New Roman"/>
          <w:color w:val="auto"/>
          <w:sz w:val="24"/>
          <w:szCs w:val="24"/>
        </w:rPr>
      </w:pPr>
      <w:r>
        <w:rPr>
          <w:rFonts w:hint="default" w:ascii="Times New Roman" w:hAnsi="Times New Roman" w:cs="Times New Roman"/>
          <w:sz w:val="24"/>
          <w:szCs w:val="24"/>
        </w:rPr>
        <w:t>Address:</w:t>
      </w:r>
      <w:r>
        <w:rPr>
          <w:rFonts w:hint="default" w:ascii="Times New Roman" w:hAnsi="Times New Roman" w:eastAsia="Helvetica" w:cs="Times New Roman"/>
          <w:i w:val="0"/>
          <w:iCs w:val="0"/>
          <w:caps w:val="0"/>
          <w:color w:val="auto"/>
          <w:spacing w:val="0"/>
          <w:sz w:val="24"/>
          <w:szCs w:val="24"/>
          <w:shd w:val="clear" w:fill="FFFFFF"/>
        </w:rPr>
        <w:t xml:space="preserve"> As specified in the Agreement.</w:t>
      </w:r>
    </w:p>
    <w:p w14:paraId="45CF021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17" w:lineRule="atLeast"/>
        <w:ind w:left="0" w:right="0"/>
        <w:jc w:val="both"/>
        <w:textAlignment w:val="auto"/>
        <w:rPr>
          <w:rFonts w:hint="default" w:ascii="Times New Roman" w:hAnsi="Times New Roman" w:cs="Times New Roman"/>
          <w:color w:val="auto"/>
          <w:sz w:val="24"/>
          <w:szCs w:val="24"/>
        </w:rPr>
      </w:pPr>
      <w:r>
        <w:rPr>
          <w:rFonts w:hint="default" w:ascii="Times New Roman" w:hAnsi="Times New Roman" w:cs="Times New Roman"/>
          <w:sz w:val="24"/>
          <w:szCs w:val="24"/>
        </w:rPr>
        <w:t xml:space="preserve">Contact person’s name, position and contact details: </w:t>
      </w:r>
      <w:r>
        <w:rPr>
          <w:rFonts w:hint="default" w:ascii="Times New Roman" w:hAnsi="Times New Roman" w:eastAsia="Helvetica" w:cs="Times New Roman"/>
          <w:i w:val="0"/>
          <w:iCs w:val="0"/>
          <w:caps w:val="0"/>
          <w:color w:val="auto"/>
          <w:spacing w:val="0"/>
          <w:sz w:val="24"/>
          <w:szCs w:val="24"/>
          <w:shd w:val="clear" w:fill="FFFFFF"/>
        </w:rPr>
        <w:t xml:space="preserve"> As specified in the Agreement.</w:t>
      </w:r>
    </w:p>
    <w:p w14:paraId="63E0906D">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eastAsiaTheme="minorEastAsia"/>
          <w:sz w:val="24"/>
          <w:szCs w:val="24"/>
          <w:lang w:val="en-US" w:eastAsia="zh-CN"/>
        </w:rPr>
      </w:pPr>
      <w:r>
        <w:rPr>
          <w:rFonts w:hint="default" w:ascii="Times New Roman" w:hAnsi="Times New Roman" w:cs="Times New Roman"/>
          <w:sz w:val="24"/>
          <w:szCs w:val="24"/>
        </w:rPr>
        <w:t>Description of processing (including a clear delimitation of responsibilities in case several sub-processors are authorised):</w:t>
      </w:r>
      <w:r>
        <w:rPr>
          <w:rFonts w:hint="eastAsia" w:ascii="Times New Roman" w:hAnsi="Times New Roman" w:cs="Times New Roman"/>
          <w:sz w:val="24"/>
          <w:szCs w:val="24"/>
          <w:lang w:val="en-US" w:eastAsia="zh-CN"/>
        </w:rPr>
        <w:t xml:space="preserve"> Sales support, First Level Support.</w:t>
      </w:r>
    </w:p>
    <w:p w14:paraId="5F757CF0">
      <w:pPr>
        <w:pStyle w:val="4"/>
        <w:keepNext w:val="0"/>
        <w:keepLines w:val="0"/>
        <w:pageBreakBefore w:val="0"/>
        <w:widowControl/>
        <w:suppressLineNumbers w:val="0"/>
        <w:tabs>
          <w:tab w:val="left" w:pos="420"/>
        </w:tabs>
        <w:kinsoku/>
        <w:wordWrap/>
        <w:overflowPunct/>
        <w:topLinePunct w:val="0"/>
        <w:autoSpaceDE/>
        <w:autoSpaceDN/>
        <w:bidi w:val="0"/>
        <w:adjustRightInd/>
        <w:snapToGrid/>
        <w:spacing w:before="80" w:beforeAutospacing="0" w:after="0" w:afterAutospacing="0"/>
        <w:ind w:left="0" w:right="0"/>
        <w:jc w:val="both"/>
        <w:textAlignment w:val="auto"/>
        <w:rPr>
          <w:rFonts w:hint="default" w:ascii="Times New Roman" w:hAnsi="Times New Roman" w:cs="Times New Roman"/>
          <w:sz w:val="24"/>
          <w:szCs w:val="24"/>
        </w:rPr>
      </w:pPr>
    </w:p>
    <w:p w14:paraId="0A5D72D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17" w:lineRule="atLeast"/>
        <w:ind w:left="0" w:right="0"/>
        <w:jc w:val="both"/>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Helvetica" w:cs="Times New Roman"/>
          <w:i w:val="0"/>
          <w:iCs w:val="0"/>
          <w:caps w:val="0"/>
          <w:color w:val="auto"/>
          <w:spacing w:val="0"/>
          <w:sz w:val="24"/>
          <w:szCs w:val="24"/>
          <w:shd w:val="clear" w:fill="FFFFFF"/>
        </w:rPr>
        <w:t xml:space="preserve">Updated: </w:t>
      </w:r>
      <w:r>
        <w:rPr>
          <w:rFonts w:hint="eastAsia" w:ascii="Times New Roman" w:hAnsi="Times New Roman" w:eastAsia="宋体" w:cs="Times New Roman"/>
          <w:i w:val="0"/>
          <w:iCs w:val="0"/>
          <w:caps w:val="0"/>
          <w:color w:val="auto"/>
          <w:spacing w:val="0"/>
          <w:sz w:val="24"/>
          <w:szCs w:val="24"/>
          <w:shd w:val="clear" w:fill="FFFFFF"/>
          <w:lang w:val="en-US" w:eastAsia="zh-CN"/>
        </w:rPr>
        <w:t>2025/12/15</w:t>
      </w:r>
    </w:p>
    <w:p w14:paraId="45B36EA7">
      <w:pPr>
        <w:keepNext w:val="0"/>
        <w:keepLines w:val="0"/>
        <w:pageBreakBefore w:val="0"/>
        <w:widowControl/>
        <w:suppressLineNumbers w:val="0"/>
        <w:tabs>
          <w:tab w:val="left" w:pos="133"/>
          <w:tab w:val="left" w:pos="420"/>
          <w:tab w:val="left" w:pos="3667"/>
        </w:tabs>
        <w:kinsoku/>
        <w:wordWrap/>
        <w:overflowPunct/>
        <w:topLinePunct w:val="0"/>
        <w:autoSpaceDE/>
        <w:autoSpaceDN/>
        <w:bidi w:val="0"/>
        <w:adjustRightInd/>
        <w:snapToGrid/>
        <w:jc w:val="left"/>
        <w:textAlignment w:val="auto"/>
        <w:rPr>
          <w:rFonts w:hint="default" w:ascii="Times New Roman" w:hAnsi="Times New Roman" w:cs="Times New Roman"/>
          <w:sz w:val="24"/>
          <w:szCs w:val="24"/>
        </w:rPr>
      </w:pPr>
    </w:p>
    <w:p w14:paraId="4EBE7F08">
      <w:pPr>
        <w:keepNext w:val="0"/>
        <w:keepLines w:val="0"/>
        <w:pageBreakBefore w:val="0"/>
        <w:widowControl/>
        <w:suppressLineNumbers w:val="0"/>
        <w:pBdr>
          <w:top w:val="single" w:color="DEE8EC" w:sz="4" w:space="0"/>
          <w:left w:val="none" w:color="DEE8EC" w:sz="0" w:space="0"/>
          <w:bottom w:val="none" w:color="DEE8EC" w:sz="0" w:space="0"/>
          <w:right w:val="none" w:color="DEE8EC" w:sz="0" w:space="0"/>
        </w:pBdr>
        <w:tabs>
          <w:tab w:val="left" w:pos="420"/>
        </w:tabs>
        <w:kinsoku/>
        <w:wordWrap/>
        <w:overflowPunct/>
        <w:topLinePunct w:val="0"/>
        <w:autoSpaceDE/>
        <w:autoSpaceDN/>
        <w:bidi w:val="0"/>
        <w:adjustRightInd/>
        <w:snapToGrid/>
        <w:spacing w:before="80" w:beforeAutospacing="0" w:after="80" w:afterAutospacing="0"/>
        <w:jc w:val="center"/>
        <w:textAlignment w:val="auto"/>
        <w:rPr>
          <w:rFonts w:hint="default" w:ascii="Times New Roman" w:hAnsi="Times New Roman" w:cs="Times New Roman"/>
          <w:color w:val="000000"/>
          <w:sz w:val="24"/>
          <w:szCs w:val="24"/>
        </w:rPr>
      </w:pPr>
    </w:p>
    <w:p w14:paraId="608547A6">
      <w:pPr>
        <w:keepNext w:val="0"/>
        <w:keepLines w:val="0"/>
        <w:pageBreakBefore w:val="0"/>
        <w:tabs>
          <w:tab w:val="left" w:pos="420"/>
        </w:tabs>
        <w:kinsoku/>
        <w:wordWrap/>
        <w:overflowPunct/>
        <w:topLinePunct w:val="0"/>
        <w:autoSpaceDE/>
        <w:autoSpaceDN/>
        <w:bidi w:val="0"/>
        <w:adjustRightInd/>
        <w:snapToGrid/>
        <w:textAlignment w:val="auto"/>
        <w:rPr>
          <w:rFonts w:hint="default" w:ascii="Times New Roman" w:hAnsi="Times New Roman" w:cs="Times New Roman"/>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Bold">
    <w:altName w:val="Times New Roman"/>
    <w:panose1 w:val="02020803070505020304"/>
    <w:charset w:val="00"/>
    <w:family w:val="auto"/>
    <w:pitch w:val="default"/>
    <w:sig w:usb0="00000000" w:usb1="00000000" w:usb2="00000001" w:usb3="00000000" w:csb0="400001BF" w:csb1="DFF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Helvetica">
    <w:altName w:val="Arial"/>
    <w:panose1 w:val="00000000000000000000"/>
    <w:charset w:val="00"/>
    <w:family w:val="auto"/>
    <w:pitch w:val="default"/>
    <w:sig w:usb0="00000000" w:usb1="00000000" w:usb2="00000000" w:usb3="00000000" w:csb0="00000000" w:csb1="00000000"/>
  </w:font>
  <w:font w:name="PingFangSC-Regular">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9514FA"/>
    <w:multiLevelType w:val="singleLevel"/>
    <w:tmpl w:val="059514FA"/>
    <w:lvl w:ilvl="0" w:tentative="0">
      <w:start w:val="1"/>
      <w:numFmt w:val="decimal"/>
      <w:suff w:val="space"/>
      <w:lvlText w:val="%1."/>
      <w:lvlJc w:val="left"/>
      <w:pPr>
        <w:ind w:left="9" w:leftChars="0" w:firstLine="0" w:firstLineChars="0"/>
      </w:pPr>
    </w:lvl>
  </w:abstractNum>
  <w:abstractNum w:abstractNumId="1">
    <w:nsid w:val="50639597"/>
    <w:multiLevelType w:val="singleLevel"/>
    <w:tmpl w:val="50639597"/>
    <w:lvl w:ilvl="0" w:tentative="0">
      <w:start w:val="1"/>
      <w:numFmt w:val="bullet"/>
      <w:lvlText w:val=""/>
      <w:lvlJc w:val="left"/>
      <w:pPr>
        <w:ind w:left="420" w:hanging="42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322"/>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FiM2MwYjdlOTllNGMxZjY4NjIxYmU4ZTAxNjQwNzUifQ=="/>
  </w:docVars>
  <w:rsids>
    <w:rsidRoot w:val="3DF726E9"/>
    <w:rsid w:val="00337FA0"/>
    <w:rsid w:val="02C31095"/>
    <w:rsid w:val="02FA02D8"/>
    <w:rsid w:val="032B1E6F"/>
    <w:rsid w:val="052A53FB"/>
    <w:rsid w:val="070659F4"/>
    <w:rsid w:val="07BC1B55"/>
    <w:rsid w:val="08A454C4"/>
    <w:rsid w:val="097F1A8E"/>
    <w:rsid w:val="0B1D155E"/>
    <w:rsid w:val="0BA13F3D"/>
    <w:rsid w:val="0C637445"/>
    <w:rsid w:val="0D154E01"/>
    <w:rsid w:val="0E8B19FF"/>
    <w:rsid w:val="0EBA7E96"/>
    <w:rsid w:val="15D849FF"/>
    <w:rsid w:val="18AF7FB5"/>
    <w:rsid w:val="190933B1"/>
    <w:rsid w:val="1A7B53FD"/>
    <w:rsid w:val="1ACB4B33"/>
    <w:rsid w:val="1AFC204E"/>
    <w:rsid w:val="1D6577C8"/>
    <w:rsid w:val="25CB1E8B"/>
    <w:rsid w:val="26233A75"/>
    <w:rsid w:val="273D0B66"/>
    <w:rsid w:val="282B4E63"/>
    <w:rsid w:val="29394AF3"/>
    <w:rsid w:val="2D5C5ABE"/>
    <w:rsid w:val="322F19DC"/>
    <w:rsid w:val="35DA40C7"/>
    <w:rsid w:val="36F61E79"/>
    <w:rsid w:val="38A04AB1"/>
    <w:rsid w:val="3D26296C"/>
    <w:rsid w:val="3DF726E9"/>
    <w:rsid w:val="3E5008E9"/>
    <w:rsid w:val="406F22C2"/>
    <w:rsid w:val="41D63C7F"/>
    <w:rsid w:val="437429C9"/>
    <w:rsid w:val="44E421C9"/>
    <w:rsid w:val="45011D2A"/>
    <w:rsid w:val="49C16F7D"/>
    <w:rsid w:val="50280DB3"/>
    <w:rsid w:val="507D2811"/>
    <w:rsid w:val="51F06651"/>
    <w:rsid w:val="52B4767F"/>
    <w:rsid w:val="55967510"/>
    <w:rsid w:val="55C20305"/>
    <w:rsid w:val="58D2702E"/>
    <w:rsid w:val="59B76268"/>
    <w:rsid w:val="5D0F7A65"/>
    <w:rsid w:val="5E5E65E5"/>
    <w:rsid w:val="5E713E80"/>
    <w:rsid w:val="5ED36259"/>
    <w:rsid w:val="5F7A7FB2"/>
    <w:rsid w:val="633F445F"/>
    <w:rsid w:val="638403FA"/>
    <w:rsid w:val="64CC766F"/>
    <w:rsid w:val="64E95A2C"/>
    <w:rsid w:val="666A0B8A"/>
    <w:rsid w:val="6841155D"/>
    <w:rsid w:val="6B6A0DCB"/>
    <w:rsid w:val="6C845EBC"/>
    <w:rsid w:val="6D6F36BE"/>
    <w:rsid w:val="717444CA"/>
    <w:rsid w:val="723344F1"/>
    <w:rsid w:val="72E91A67"/>
    <w:rsid w:val="73A24E58"/>
    <w:rsid w:val="74031DBD"/>
    <w:rsid w:val="7BF363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spacing w:line="360" w:lineRule="auto"/>
      <w:outlineLvl w:val="1"/>
    </w:pPr>
    <w:rPr>
      <w:rFonts w:ascii="Times New Roman" w:hAnsi="Times New Roman" w:cs="Times New Roman Bold"/>
      <w:bCs/>
      <w:sz w:val="24"/>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Normal (Web)"/>
    <w:basedOn w:val="1"/>
    <w:qFormat/>
    <w:uiPriority w:val="0"/>
    <w:rPr>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0"/>
    <w:rPr>
      <w:b/>
    </w:rPr>
  </w:style>
  <w:style w:type="character" w:styleId="9">
    <w:name w:val="Emphasis"/>
    <w:basedOn w:val="7"/>
    <w:qFormat/>
    <w:uiPriority w:val="0"/>
    <w:rPr>
      <w:i/>
    </w:rPr>
  </w:style>
  <w:style w:type="character" w:styleId="10">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6856</Words>
  <Characters>37240</Characters>
  <Lines>0</Lines>
  <Paragraphs>0</Paragraphs>
  <TotalTime>0</TotalTime>
  <ScaleCrop>false</ScaleCrop>
  <LinksUpToDate>false</LinksUpToDate>
  <CharactersWithSpaces>43899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2025-06-24T09:46:00Z</dcterms:created>
  <dc:creator>Ronan</dc:creator>
  <cp:lastModifiedBy>admin</cp:lastModifiedBy>
  <dcterms:modified xsi:type="dcterms:W3CDTF">2025-12-04T09:45:49Z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11E5A6E7DDD040818E2201F33265632B_13</vt:lpwstr>
  </property>
</Properties>
</file>